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467D83" w:rsidRDefault="00F92268" w:rsidP="00381F59">
      <w:pPr>
        <w:pStyle w:val="BodyText"/>
        <w:spacing w:after="0"/>
        <w:rPr>
          <w:sz w:val="6"/>
          <w:szCs w:val="6"/>
        </w:rPr>
      </w:pPr>
      <w:r w:rsidRPr="00467D83">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467D83"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467D83" w:rsidRDefault="00F92268" w:rsidP="00F246C7">
            <w:pPr>
              <w:pStyle w:val="RefTableData"/>
            </w:pPr>
            <w:r w:rsidRPr="00467D83">
              <w:t>Reference number(s)</w:t>
            </w:r>
          </w:p>
        </w:tc>
      </w:tr>
      <w:tr w:rsidR="00F92268" w:rsidRPr="00467D83"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79714C3" w:rsidR="00F92268" w:rsidRPr="00467D83" w:rsidRDefault="003C3E79" w:rsidP="00F246C7">
            <w:pPr>
              <w:pStyle w:val="RefTableHeader"/>
            </w:pPr>
            <w:r w:rsidRPr="00467D83">
              <w:t>2099-A</w:t>
            </w:r>
          </w:p>
        </w:tc>
      </w:tr>
    </w:tbl>
    <w:p w14:paraId="74FBA5B4" w14:textId="77777777" w:rsidR="00051356" w:rsidRPr="00467D83" w:rsidRDefault="00051356" w:rsidP="00381F59">
      <w:pPr>
        <w:pStyle w:val="BodyText"/>
        <w:spacing w:after="0"/>
        <w:rPr>
          <w:b/>
          <w:bCs/>
          <w:sz w:val="16"/>
          <w:szCs w:val="16"/>
        </w:rPr>
        <w:sectPr w:rsidR="00051356" w:rsidRPr="00467D83" w:rsidSect="009330A1">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14DE47B9" w:rsidR="004B15BB" w:rsidRPr="00467D83" w:rsidRDefault="003C3E79" w:rsidP="007E5C16">
      <w:pPr>
        <w:pStyle w:val="Heading1"/>
      </w:pPr>
      <w:r w:rsidRPr="00467D83">
        <w:t>Specialty Guideline Management</w:t>
      </w:r>
      <w:r w:rsidR="008C54D9" w:rsidRPr="00467D83">
        <w:br/>
      </w:r>
      <w:r w:rsidRPr="00467D83">
        <w:t xml:space="preserve">Rituxan </w:t>
      </w:r>
      <w:proofErr w:type="spellStart"/>
      <w:r w:rsidRPr="00467D83">
        <w:t>Hycela</w:t>
      </w:r>
      <w:proofErr w:type="spellEnd"/>
    </w:p>
    <w:p w14:paraId="78861C92" w14:textId="3FBA371C" w:rsidR="00203468" w:rsidRPr="00467D83" w:rsidRDefault="00C64534" w:rsidP="008E0F0D">
      <w:pPr>
        <w:pStyle w:val="Heading2"/>
      </w:pPr>
      <w:r w:rsidRPr="00467D83">
        <w:t xml:space="preserve">Products Referenced by this </w:t>
      </w:r>
      <w:r w:rsidR="00501602" w:rsidRPr="00467D83">
        <w:t>Document</w:t>
      </w:r>
    </w:p>
    <w:p w14:paraId="5455152B" w14:textId="22D82A8A" w:rsidR="008E0F0D" w:rsidRPr="00467D83" w:rsidRDefault="00D82D85" w:rsidP="008B73E8">
      <w:pPr>
        <w:pStyle w:val="BodyText"/>
      </w:pPr>
      <w:r w:rsidRPr="00467D83">
        <w:t xml:space="preserve">Drugs that are listed in the </w:t>
      </w:r>
      <w:r w:rsidR="000315F1" w:rsidRPr="00467D83">
        <w:t>following table</w:t>
      </w:r>
      <w:r w:rsidRPr="00467D83">
        <w:t xml:space="preserve"> include both brand and generic and all dosage forms and strengths unless otherwise stated. </w:t>
      </w:r>
      <w:r w:rsidR="00CA13FA">
        <w:t>Over</w:t>
      </w:r>
      <w:r w:rsidR="007C140A">
        <w:t>-</w:t>
      </w:r>
      <w:r w:rsidR="00CA13FA">
        <w:t>the</w:t>
      </w:r>
      <w:r w:rsidR="007C140A">
        <w:t>-</w:t>
      </w:r>
      <w:r w:rsidR="00CA13FA">
        <w:t>counter (</w:t>
      </w:r>
      <w:r w:rsidRPr="00467D83">
        <w:t>OTC</w:t>
      </w:r>
      <w:r w:rsidR="00CA13FA">
        <w:t>)</w:t>
      </w:r>
      <w:r w:rsidRPr="00467D83">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467D83" w14:paraId="158421F8" w14:textId="77777777" w:rsidTr="000C5A6F">
        <w:trPr>
          <w:cantSplit/>
          <w:trHeight w:val="288"/>
          <w:tblHeader/>
        </w:trPr>
        <w:tc>
          <w:tcPr>
            <w:tcW w:w="5265" w:type="dxa"/>
            <w:vAlign w:val="center"/>
          </w:tcPr>
          <w:p w14:paraId="2A27354A" w14:textId="1390179E" w:rsidR="00252CE1" w:rsidRPr="00467D83" w:rsidRDefault="00252CE1" w:rsidP="00AA1E6A">
            <w:pPr>
              <w:pStyle w:val="TableHeader"/>
            </w:pPr>
            <w:bookmarkStart w:id="0" w:name="_Hlk159603270"/>
            <w:r w:rsidRPr="00467D83">
              <w:t>Brand Name</w:t>
            </w:r>
          </w:p>
        </w:tc>
        <w:tc>
          <w:tcPr>
            <w:tcW w:w="5595" w:type="dxa"/>
            <w:vAlign w:val="center"/>
          </w:tcPr>
          <w:p w14:paraId="3D342BE1" w14:textId="75F11EF1" w:rsidR="00252CE1" w:rsidRPr="00467D83" w:rsidRDefault="00252CE1" w:rsidP="00AA1E6A">
            <w:pPr>
              <w:pStyle w:val="TableHeader"/>
            </w:pPr>
            <w:r w:rsidRPr="00467D83">
              <w:t>Generic Name</w:t>
            </w:r>
          </w:p>
        </w:tc>
      </w:tr>
      <w:tr w:rsidR="00585FFF" w:rsidRPr="00467D83" w14:paraId="2AD5C02D" w14:textId="77777777" w:rsidTr="000C5A6F">
        <w:trPr>
          <w:cantSplit/>
        </w:trPr>
        <w:tc>
          <w:tcPr>
            <w:tcW w:w="5265" w:type="dxa"/>
          </w:tcPr>
          <w:p w14:paraId="2D8FA8E3" w14:textId="7F5D956E" w:rsidR="00585FFF" w:rsidRPr="00467D83" w:rsidRDefault="003C3E79" w:rsidP="00E82ABA">
            <w:pPr>
              <w:pStyle w:val="TableDataUnpadded"/>
            </w:pPr>
            <w:r w:rsidRPr="00467D83">
              <w:t>Rituxan Hycela</w:t>
            </w:r>
          </w:p>
        </w:tc>
        <w:tc>
          <w:tcPr>
            <w:tcW w:w="5595" w:type="dxa"/>
          </w:tcPr>
          <w:p w14:paraId="7E26A004" w14:textId="687BFC38" w:rsidR="00585FFF" w:rsidRPr="00467D83" w:rsidRDefault="003C3E79" w:rsidP="00E82ABA">
            <w:pPr>
              <w:pStyle w:val="TableDataUnpadded"/>
            </w:pPr>
            <w:r w:rsidRPr="00467D83">
              <w:t>rituximab and hyaluronidase human</w:t>
            </w:r>
          </w:p>
        </w:tc>
      </w:tr>
    </w:tbl>
    <w:bookmarkEnd w:id="0"/>
    <w:p w14:paraId="14CE6108" w14:textId="0355A118" w:rsidR="00FC1AAD" w:rsidRPr="00467D83" w:rsidRDefault="00ED052F" w:rsidP="00AA2A94">
      <w:pPr>
        <w:pStyle w:val="Heading2"/>
        <w:tabs>
          <w:tab w:val="left" w:pos="9540"/>
        </w:tabs>
      </w:pPr>
      <w:r w:rsidRPr="00467D83">
        <w:t>Indications</w:t>
      </w:r>
    </w:p>
    <w:p w14:paraId="58DB29F4" w14:textId="79B5CF2A" w:rsidR="003C3E79" w:rsidRPr="00467D83" w:rsidRDefault="003C3E79" w:rsidP="003C3E79">
      <w:pPr>
        <w:pStyle w:val="BodyText"/>
      </w:pPr>
      <w:r w:rsidRPr="00467D83">
        <w:t>The indications below including FDA-approved indications and compendial uses are considered a covered benefit provided that all the approval criteria are met and the member has no exclusions to the prescribed therapy.</w:t>
      </w:r>
    </w:p>
    <w:p w14:paraId="134B5687" w14:textId="6C5D3F7F" w:rsidR="00ED052F" w:rsidRPr="00467D83" w:rsidRDefault="00ED052F" w:rsidP="00ED052F">
      <w:pPr>
        <w:pStyle w:val="Heading3"/>
        <w:keepNext w:val="0"/>
      </w:pPr>
      <w:r w:rsidRPr="00467D83">
        <w:t>FDA-</w:t>
      </w:r>
      <w:r w:rsidR="00D64087">
        <w:t>A</w:t>
      </w:r>
      <w:r w:rsidRPr="00467D83">
        <w:t>pproved Indications</w:t>
      </w:r>
      <w:r w:rsidR="003C3E79" w:rsidRPr="00467D83">
        <w:rPr>
          <w:vertAlign w:val="superscript"/>
        </w:rPr>
        <w:t>1</w:t>
      </w:r>
    </w:p>
    <w:p w14:paraId="6BA3E501" w14:textId="77777777" w:rsidR="003C3E79" w:rsidRPr="00D64087" w:rsidRDefault="003C3E79" w:rsidP="00D64087">
      <w:pPr>
        <w:pStyle w:val="ListParagraph"/>
        <w:numPr>
          <w:ilvl w:val="0"/>
          <w:numId w:val="39"/>
        </w:numPr>
      </w:pPr>
      <w:r w:rsidRPr="00D64087">
        <w:t xml:space="preserve">Adult patients with </w:t>
      </w:r>
      <w:bookmarkStart w:id="1" w:name="OLE_LINK2"/>
      <w:r w:rsidRPr="00D64087">
        <w:t xml:space="preserve">follicular lymphoma </w:t>
      </w:r>
      <w:bookmarkEnd w:id="1"/>
      <w:r w:rsidRPr="00D64087">
        <w:t>(FL):</w:t>
      </w:r>
    </w:p>
    <w:p w14:paraId="09954968" w14:textId="77777777" w:rsidR="003C3E79" w:rsidRPr="00D64087" w:rsidRDefault="003C3E79" w:rsidP="00D64087">
      <w:pPr>
        <w:pStyle w:val="ListParagraph"/>
        <w:numPr>
          <w:ilvl w:val="1"/>
          <w:numId w:val="40"/>
        </w:numPr>
      </w:pPr>
      <w:r w:rsidRPr="00D64087">
        <w:t>Relapsed or refractory, follicular lymphoma as a single agent</w:t>
      </w:r>
    </w:p>
    <w:p w14:paraId="3F2DDFF1" w14:textId="77777777" w:rsidR="003C3E79" w:rsidRPr="00D64087" w:rsidRDefault="003C3E79" w:rsidP="00D64087">
      <w:pPr>
        <w:pStyle w:val="ListParagraph"/>
        <w:numPr>
          <w:ilvl w:val="1"/>
          <w:numId w:val="40"/>
        </w:numPr>
      </w:pPr>
      <w:r w:rsidRPr="00D64087">
        <w:t>Previously untreated follicular lymphoma in combination with first line chemotherapy and, in patients achieving a complete or partial response to rituximab in combination with chemotherapy, as single-agent maintenance therapy</w:t>
      </w:r>
    </w:p>
    <w:p w14:paraId="5DF4ED20" w14:textId="77777777" w:rsidR="003C3E79" w:rsidRPr="00D64087" w:rsidRDefault="003C3E79" w:rsidP="00D64087">
      <w:pPr>
        <w:pStyle w:val="ListParagraph"/>
        <w:numPr>
          <w:ilvl w:val="1"/>
          <w:numId w:val="40"/>
        </w:numPr>
      </w:pPr>
      <w:r w:rsidRPr="00D64087">
        <w:t>Non-progressing (including stable disease), follicular lymphoma as a single agent after first-line CVP (cyclophosphamide, vincristine, and prednisone) chemotherapy</w:t>
      </w:r>
    </w:p>
    <w:p w14:paraId="1839D6E5" w14:textId="77777777" w:rsidR="003C3E79" w:rsidRPr="00D64087" w:rsidRDefault="003C3E79" w:rsidP="00D64087">
      <w:pPr>
        <w:pStyle w:val="ListParagraph"/>
        <w:numPr>
          <w:ilvl w:val="0"/>
          <w:numId w:val="39"/>
        </w:numPr>
      </w:pPr>
      <w:r w:rsidRPr="00D64087">
        <w:t>Adult patients with previously untreated diffuse large B-cell lymphoma (DLBCL) in combination with cyclophosphamide, doxorubicin, vincristine, and prednisone (CHOP) or other anthracycline-based chemotherapy regimens</w:t>
      </w:r>
    </w:p>
    <w:p w14:paraId="583CCBAA" w14:textId="3D6C231A" w:rsidR="003C3E79" w:rsidRPr="00D64087" w:rsidRDefault="003C3E79" w:rsidP="00D64087">
      <w:pPr>
        <w:pStyle w:val="ListParagraph"/>
        <w:numPr>
          <w:ilvl w:val="0"/>
          <w:numId w:val="39"/>
        </w:numPr>
      </w:pPr>
      <w:r w:rsidRPr="00D64087">
        <w:t>Adult patients with previously untreated and previously treated chronic lymphocytic leukemia (CLL), in combination with fludarabine and cyclophosphamide (FC)</w:t>
      </w:r>
    </w:p>
    <w:p w14:paraId="2F5E0E1A" w14:textId="7DF86B5E" w:rsidR="003C3E79" w:rsidRPr="00467D83" w:rsidRDefault="003C3E79" w:rsidP="003C3E79">
      <w:pPr>
        <w:pStyle w:val="Heading4"/>
      </w:pPr>
      <w:r w:rsidRPr="00467D83">
        <w:lastRenderedPageBreak/>
        <w:t>Limitations of Use</w:t>
      </w:r>
    </w:p>
    <w:p w14:paraId="464FD103" w14:textId="77777777" w:rsidR="003C3E79" w:rsidRPr="00467D83" w:rsidRDefault="003C3E79" w:rsidP="003C3E79">
      <w:pPr>
        <w:pStyle w:val="BodyText"/>
      </w:pPr>
      <w:r w:rsidRPr="00467D83">
        <w:t>Initiate treatment with Rituxan Hycela only after patients have received at least one full dose of a rituximab product by intravenous infusion.</w:t>
      </w:r>
    </w:p>
    <w:p w14:paraId="3058A5F8" w14:textId="70C5E583" w:rsidR="005C778C" w:rsidRPr="00467D83" w:rsidRDefault="003C3E79" w:rsidP="003C3E79">
      <w:pPr>
        <w:pStyle w:val="BodyText"/>
      </w:pPr>
      <w:r w:rsidRPr="00467D83">
        <w:t>Rituxan Hycela is not indicated for the treatment of non-malignant conditions.</w:t>
      </w:r>
    </w:p>
    <w:p w14:paraId="0B5EC236" w14:textId="5DAE4B7F" w:rsidR="0044763A" w:rsidRPr="00467D83" w:rsidRDefault="009F2EF1" w:rsidP="0044763A">
      <w:pPr>
        <w:pStyle w:val="Heading3"/>
      </w:pPr>
      <w:r w:rsidRPr="00467D83">
        <w:t>Compendial Uses</w:t>
      </w:r>
      <w:r w:rsidR="003C3E79" w:rsidRPr="00467D83">
        <w:rPr>
          <w:vertAlign w:val="superscript"/>
        </w:rPr>
        <w:t>2</w:t>
      </w:r>
    </w:p>
    <w:p w14:paraId="7FA66C3E" w14:textId="77777777" w:rsidR="003C3E79" w:rsidRPr="00D64087" w:rsidRDefault="003C3E79" w:rsidP="00D64087">
      <w:pPr>
        <w:pStyle w:val="ListParagraph"/>
        <w:numPr>
          <w:ilvl w:val="0"/>
          <w:numId w:val="42"/>
        </w:numPr>
      </w:pPr>
      <w:r w:rsidRPr="00D64087">
        <w:t>B-cell lymphomas:</w:t>
      </w:r>
    </w:p>
    <w:p w14:paraId="2E93865A" w14:textId="77777777" w:rsidR="003C3E79" w:rsidRPr="00D64087" w:rsidRDefault="003C3E79" w:rsidP="00D64087">
      <w:pPr>
        <w:pStyle w:val="ListParagraph"/>
        <w:numPr>
          <w:ilvl w:val="1"/>
          <w:numId w:val="42"/>
        </w:numPr>
      </w:pPr>
      <w:r w:rsidRPr="00D64087">
        <w:t>Castleman’s disease (CD)</w:t>
      </w:r>
    </w:p>
    <w:p w14:paraId="6C960009" w14:textId="77777777" w:rsidR="003C3E79" w:rsidRPr="00D64087" w:rsidRDefault="003C3E79" w:rsidP="00D64087">
      <w:pPr>
        <w:pStyle w:val="ListParagraph"/>
        <w:numPr>
          <w:ilvl w:val="1"/>
          <w:numId w:val="42"/>
        </w:numPr>
      </w:pPr>
      <w:bookmarkStart w:id="2" w:name="OLE_LINK4"/>
      <w:r w:rsidRPr="00D64087">
        <w:t>High grade B-cell lymphoma (including high-grade B-cell lymphoma with translocations of MYC and BCL2 and/or BCL6 [double/triple hit lymphoma], high-grade B-cell lymphoma, not otherwise specified)</w:t>
      </w:r>
    </w:p>
    <w:bookmarkEnd w:id="2"/>
    <w:p w14:paraId="518C5533" w14:textId="77777777" w:rsidR="003C3E79" w:rsidRPr="00D64087" w:rsidRDefault="003C3E79" w:rsidP="00D64087">
      <w:pPr>
        <w:pStyle w:val="ListParagraph"/>
        <w:numPr>
          <w:ilvl w:val="1"/>
          <w:numId w:val="42"/>
        </w:numPr>
      </w:pPr>
      <w:r w:rsidRPr="00D64087">
        <w:t>Histologic transformation of indolent lymphomas to diffuse large B-cell lymphoma</w:t>
      </w:r>
    </w:p>
    <w:p w14:paraId="0FAD7027" w14:textId="77777777" w:rsidR="003C3E79" w:rsidRPr="00D64087" w:rsidRDefault="003C3E79" w:rsidP="00D64087">
      <w:pPr>
        <w:pStyle w:val="ListParagraph"/>
        <w:numPr>
          <w:ilvl w:val="1"/>
          <w:numId w:val="42"/>
        </w:numPr>
      </w:pPr>
      <w:r w:rsidRPr="00D64087">
        <w:t>Marginal zone lymphomas</w:t>
      </w:r>
    </w:p>
    <w:p w14:paraId="0BB44DDB" w14:textId="77777777" w:rsidR="003C3E79" w:rsidRPr="00D64087" w:rsidRDefault="003C3E79" w:rsidP="00D64087">
      <w:pPr>
        <w:pStyle w:val="ListParagraph"/>
        <w:numPr>
          <w:ilvl w:val="2"/>
          <w:numId w:val="42"/>
        </w:numPr>
      </w:pPr>
      <w:r w:rsidRPr="00D64087">
        <w:t>Nodal marginal zone lymphoma</w:t>
      </w:r>
    </w:p>
    <w:p w14:paraId="1F1B7B30" w14:textId="77777777" w:rsidR="003C3E79" w:rsidRPr="00D64087" w:rsidRDefault="003C3E79" w:rsidP="00D64087">
      <w:pPr>
        <w:pStyle w:val="ListParagraph"/>
        <w:numPr>
          <w:ilvl w:val="2"/>
          <w:numId w:val="42"/>
        </w:numPr>
      </w:pPr>
      <w:bookmarkStart w:id="3" w:name="OLE_LINK5"/>
      <w:r w:rsidRPr="00D64087">
        <w:t>Splenic marginal zone lymphoma</w:t>
      </w:r>
    </w:p>
    <w:p w14:paraId="7C51B5DA" w14:textId="53029FBB" w:rsidR="003C3E79" w:rsidRPr="00D64087" w:rsidRDefault="003C3E79" w:rsidP="00D64087">
      <w:pPr>
        <w:pStyle w:val="ListParagraph"/>
        <w:numPr>
          <w:ilvl w:val="2"/>
          <w:numId w:val="42"/>
        </w:numPr>
      </w:pPr>
      <w:bookmarkStart w:id="4" w:name="OLE_LINK29"/>
      <w:bookmarkStart w:id="5" w:name="OLE_LINK11"/>
      <w:r w:rsidRPr="00D64087">
        <w:t xml:space="preserve">Extranodal Marginal Zone Lymphoma </w:t>
      </w:r>
      <w:bookmarkStart w:id="6" w:name="OLE_LINK1"/>
      <w:r w:rsidRPr="00D64087">
        <w:t xml:space="preserve">(Gastric and </w:t>
      </w:r>
      <w:proofErr w:type="spellStart"/>
      <w:r w:rsidRPr="00D64087">
        <w:t>Nongastric</w:t>
      </w:r>
      <w:proofErr w:type="spellEnd"/>
      <w:r w:rsidRPr="00D64087">
        <w:t xml:space="preserve"> mucosa associated lymphoid tissue {MALT} lymphoma)</w:t>
      </w:r>
      <w:bookmarkEnd w:id="4"/>
    </w:p>
    <w:bookmarkEnd w:id="3"/>
    <w:bookmarkEnd w:id="5"/>
    <w:bookmarkEnd w:id="6"/>
    <w:p w14:paraId="65BA6F18" w14:textId="77777777" w:rsidR="003C3E79" w:rsidRPr="00D64087" w:rsidRDefault="003C3E79" w:rsidP="00D64087">
      <w:pPr>
        <w:pStyle w:val="ListParagraph"/>
        <w:numPr>
          <w:ilvl w:val="1"/>
          <w:numId w:val="42"/>
        </w:numPr>
      </w:pPr>
      <w:r w:rsidRPr="00D64087">
        <w:t>Mantle cell lymphoma</w:t>
      </w:r>
    </w:p>
    <w:p w14:paraId="3C44D225" w14:textId="77777777" w:rsidR="003C3E79" w:rsidRPr="00D64087" w:rsidRDefault="003C3E79" w:rsidP="00D64087">
      <w:pPr>
        <w:pStyle w:val="ListParagraph"/>
        <w:numPr>
          <w:ilvl w:val="0"/>
          <w:numId w:val="42"/>
        </w:numPr>
      </w:pPr>
      <w:bookmarkStart w:id="7" w:name="OLE_LINK3"/>
      <w:r w:rsidRPr="00D64087">
        <w:t>Post-transplant lymphoproliferative disorder (PTLD)</w:t>
      </w:r>
    </w:p>
    <w:p w14:paraId="373EBAE5" w14:textId="77777777" w:rsidR="003C3E79" w:rsidRPr="00D64087" w:rsidRDefault="003C3E79" w:rsidP="00D64087">
      <w:pPr>
        <w:pStyle w:val="ListParagraph"/>
        <w:numPr>
          <w:ilvl w:val="0"/>
          <w:numId w:val="42"/>
        </w:numPr>
      </w:pPr>
      <w:r w:rsidRPr="00D64087">
        <w:t>Hairy cell leukemia</w:t>
      </w:r>
    </w:p>
    <w:p w14:paraId="7C94BAC7" w14:textId="77777777" w:rsidR="003C3E79" w:rsidRPr="00D64087" w:rsidRDefault="003C3E79" w:rsidP="00D64087">
      <w:pPr>
        <w:pStyle w:val="ListParagraph"/>
        <w:numPr>
          <w:ilvl w:val="0"/>
          <w:numId w:val="42"/>
        </w:numPr>
      </w:pPr>
      <w:r w:rsidRPr="00D64087">
        <w:t>Primary cutaneous B-cell lymphoma (e.g., cutaneous marginal zone lymphoma or cutaneous follicle center lymphomas)</w:t>
      </w:r>
    </w:p>
    <w:p w14:paraId="70CE7175" w14:textId="77777777" w:rsidR="003C3E79" w:rsidRPr="00D64087" w:rsidRDefault="003C3E79" w:rsidP="00D64087">
      <w:pPr>
        <w:pStyle w:val="ListParagraph"/>
        <w:numPr>
          <w:ilvl w:val="0"/>
          <w:numId w:val="42"/>
        </w:numPr>
      </w:pPr>
      <w:r w:rsidRPr="00D64087">
        <w:t>Small lymphocytic lymphoma (SLL)</w:t>
      </w:r>
    </w:p>
    <w:p w14:paraId="3AE37770" w14:textId="77777777" w:rsidR="003C3E79" w:rsidRPr="00D64087" w:rsidRDefault="003C3E79" w:rsidP="00D64087">
      <w:pPr>
        <w:pStyle w:val="ListParagraph"/>
        <w:numPr>
          <w:ilvl w:val="0"/>
          <w:numId w:val="42"/>
        </w:numPr>
      </w:pPr>
      <w:r w:rsidRPr="00D64087">
        <w:t>Waldenström Macroglobulinemia/ Lymphoplasmacytic Lymphoma</w:t>
      </w:r>
    </w:p>
    <w:p w14:paraId="639B681B" w14:textId="5673EA10" w:rsidR="003C3E79" w:rsidRPr="00D64087" w:rsidRDefault="003C3E79" w:rsidP="00D64087">
      <w:pPr>
        <w:pStyle w:val="ListParagraph"/>
        <w:numPr>
          <w:ilvl w:val="0"/>
          <w:numId w:val="42"/>
        </w:numPr>
      </w:pPr>
      <w:bookmarkStart w:id="8" w:name="OLE_LINK32"/>
      <w:r w:rsidRPr="00D64087">
        <w:t>Hodgkin lymphoma, nodular lymphocyte-predominant</w:t>
      </w:r>
      <w:bookmarkEnd w:id="7"/>
      <w:bookmarkEnd w:id="8"/>
    </w:p>
    <w:p w14:paraId="0D5A9DD5" w14:textId="5BF5C998" w:rsidR="009A5649" w:rsidRPr="00467D83" w:rsidRDefault="003C3E79" w:rsidP="003C3E79">
      <w:pPr>
        <w:pStyle w:val="BodyText"/>
        <w:rPr>
          <w:rFonts w:eastAsia="Arial"/>
        </w:rPr>
      </w:pPr>
      <w:r w:rsidRPr="00467D83">
        <w:t>All other indications are considered experimental/investigational and are not medically necessary</w:t>
      </w:r>
      <w:r w:rsidR="009A5649" w:rsidRPr="00467D83">
        <w:rPr>
          <w:rFonts w:eastAsia="Arial"/>
        </w:rPr>
        <w:t xml:space="preserve">. </w:t>
      </w:r>
    </w:p>
    <w:p w14:paraId="36381B6D" w14:textId="2D5F4425" w:rsidR="000D2496" w:rsidRPr="00467D83" w:rsidRDefault="000D2496" w:rsidP="000D2496">
      <w:pPr>
        <w:pStyle w:val="Heading2"/>
      </w:pPr>
      <w:r w:rsidRPr="00467D83">
        <w:t>Documentation</w:t>
      </w:r>
    </w:p>
    <w:p w14:paraId="5D4CD6F7" w14:textId="60DA9202" w:rsidR="00021C51" w:rsidRPr="00467D83" w:rsidRDefault="0007062F" w:rsidP="0012768E">
      <w:pPr>
        <w:pStyle w:val="BodyText"/>
      </w:pPr>
      <w:r w:rsidRPr="00467D83">
        <w:t>Submission of the following information is necessary to initiate the prior authorization review: Testing or analysis confirming CD20 protein on the surface of the B-cell</w:t>
      </w:r>
    </w:p>
    <w:p w14:paraId="50A38FBA" w14:textId="1D056E90" w:rsidR="00FE0C63" w:rsidRPr="00467D83" w:rsidRDefault="00685107" w:rsidP="00E050E1">
      <w:pPr>
        <w:pStyle w:val="Heading2"/>
      </w:pPr>
      <w:r w:rsidRPr="00467D83">
        <w:t>Coverage Criteria</w:t>
      </w:r>
    </w:p>
    <w:p w14:paraId="3733637F" w14:textId="23B634AB" w:rsidR="005663A2" w:rsidRPr="00467D83" w:rsidRDefault="005663A2" w:rsidP="00381F59">
      <w:pPr>
        <w:pStyle w:val="BodyText"/>
        <w:spacing w:after="100"/>
      </w:pPr>
      <w:r w:rsidRPr="00467D83">
        <w:t>Prior to initiating therapy, all members must receive at least one full dose of a rituximab product by intravenous infusion without experiencing severe adverse reactions.</w:t>
      </w:r>
    </w:p>
    <w:p w14:paraId="497CD9CD" w14:textId="33DA3242" w:rsidR="005663A2" w:rsidRPr="00467D83" w:rsidRDefault="005663A2" w:rsidP="005663A2">
      <w:pPr>
        <w:pStyle w:val="Heading3"/>
      </w:pPr>
      <w:r w:rsidRPr="00467D83">
        <w:lastRenderedPageBreak/>
        <w:t xml:space="preserve">Chronic </w:t>
      </w:r>
      <w:r w:rsidR="00D64087" w:rsidRPr="00467D83">
        <w:t>Lymphocytic Leukemia (</w:t>
      </w:r>
      <w:r w:rsidRPr="00467D83">
        <w:t>CLL</w:t>
      </w:r>
      <w:r w:rsidR="00D64087" w:rsidRPr="00467D83">
        <w:t xml:space="preserve">)/ </w:t>
      </w:r>
      <w:r w:rsidRPr="00467D83">
        <w:t xml:space="preserve">Small </w:t>
      </w:r>
      <w:r w:rsidR="00D64087" w:rsidRPr="00467D83">
        <w:t>Lymphocytic Lymphoma (</w:t>
      </w:r>
      <w:r w:rsidRPr="00467D83">
        <w:t>SLL</w:t>
      </w:r>
      <w:r w:rsidR="00D64087" w:rsidRPr="00467D83">
        <w:t>)</w:t>
      </w:r>
      <w:r w:rsidRPr="00467D83">
        <w:rPr>
          <w:vertAlign w:val="superscript"/>
        </w:rPr>
        <w:t>1,2</w:t>
      </w:r>
    </w:p>
    <w:p w14:paraId="369807F6" w14:textId="418D1540" w:rsidR="005663A2" w:rsidRPr="00467D83" w:rsidRDefault="005663A2" w:rsidP="00381F59">
      <w:pPr>
        <w:pStyle w:val="BodyText"/>
        <w:spacing w:after="80"/>
      </w:pPr>
      <w:r w:rsidRPr="00467D83">
        <w:t>Authorization of 12 months may be granted for treatment of CD20 positive CLL or SLL.</w:t>
      </w:r>
    </w:p>
    <w:p w14:paraId="01763AB8" w14:textId="1F2B5C57" w:rsidR="005663A2" w:rsidRPr="00467D83" w:rsidRDefault="005663A2" w:rsidP="005663A2">
      <w:pPr>
        <w:pStyle w:val="Heading3"/>
      </w:pPr>
      <w:r w:rsidRPr="00467D83">
        <w:t xml:space="preserve">Hairy </w:t>
      </w:r>
      <w:r w:rsidR="00D64087" w:rsidRPr="00467D83">
        <w:t xml:space="preserve">Cell Leukemia </w:t>
      </w:r>
      <w:r w:rsidRPr="00467D83">
        <w:t>(HCL)</w:t>
      </w:r>
      <w:r w:rsidRPr="00467D83">
        <w:rPr>
          <w:vertAlign w:val="superscript"/>
        </w:rPr>
        <w:t>2</w:t>
      </w:r>
    </w:p>
    <w:p w14:paraId="25994C6D" w14:textId="053BC5A5" w:rsidR="005663A2" w:rsidRDefault="005663A2" w:rsidP="00381F59">
      <w:pPr>
        <w:pStyle w:val="BodyText"/>
        <w:spacing w:after="80"/>
      </w:pPr>
      <w:r w:rsidRPr="00467D83">
        <w:t xml:space="preserve">Authorization of 12 months may be granted for treatment of CD20 positive HCL. </w:t>
      </w:r>
    </w:p>
    <w:p w14:paraId="5A0347F1" w14:textId="77777777" w:rsidR="00D64087" w:rsidRDefault="00D64087" w:rsidP="005663A2">
      <w:pPr>
        <w:pStyle w:val="BodyText"/>
        <w:sectPr w:rsidR="00D64087" w:rsidSect="00250F6F">
          <w:type w:val="continuous"/>
          <w:pgSz w:w="12240" w:h="15840" w:code="1"/>
          <w:pgMar w:top="900" w:right="720" w:bottom="990" w:left="720" w:header="720" w:footer="807" w:gutter="0"/>
          <w:paperSrc w:first="15" w:other="15"/>
          <w:cols w:space="720"/>
          <w:docGrid w:linePitch="299"/>
        </w:sectPr>
      </w:pPr>
    </w:p>
    <w:p w14:paraId="0515A5DD" w14:textId="1837D023" w:rsidR="005663A2" w:rsidRPr="00467D83" w:rsidRDefault="005663A2" w:rsidP="005663A2">
      <w:pPr>
        <w:pStyle w:val="Heading3"/>
      </w:pPr>
      <w:r w:rsidRPr="00467D83">
        <w:t>B</w:t>
      </w:r>
      <w:r w:rsidR="00D64087" w:rsidRPr="00467D83">
        <w:t>-</w:t>
      </w:r>
      <w:r w:rsidR="00D64087">
        <w:t>c</w:t>
      </w:r>
      <w:r w:rsidR="00D64087" w:rsidRPr="00467D83">
        <w:t>ell Lymphomas</w:t>
      </w:r>
      <w:r w:rsidR="00D64087" w:rsidRPr="00467D83">
        <w:rPr>
          <w:vertAlign w:val="superscript"/>
        </w:rPr>
        <w:t>1</w:t>
      </w:r>
      <w:r w:rsidRPr="00467D83">
        <w:rPr>
          <w:vertAlign w:val="superscript"/>
        </w:rPr>
        <w:t>,2</w:t>
      </w:r>
    </w:p>
    <w:p w14:paraId="2A88CA38" w14:textId="77777777" w:rsidR="005663A2" w:rsidRPr="00467D83" w:rsidRDefault="005663A2" w:rsidP="005663A2">
      <w:pPr>
        <w:autoSpaceDE w:val="0"/>
        <w:autoSpaceDN w:val="0"/>
        <w:adjustRightInd w:val="0"/>
      </w:pPr>
      <w:r w:rsidRPr="00467D83">
        <w:rPr>
          <w:rStyle w:val="BodyTextChar"/>
        </w:rPr>
        <w:t>Authorization of 12 months may be granted for treatment of any of the following oncologic disorders that are CD20-positive as confirmed by testing or analysis</w:t>
      </w:r>
      <w:r w:rsidRPr="00467D83">
        <w:rPr>
          <w:sz w:val="20"/>
        </w:rPr>
        <w:t>:</w:t>
      </w:r>
    </w:p>
    <w:p w14:paraId="5CC287A4" w14:textId="77777777" w:rsidR="005663A2" w:rsidRPr="00D64087" w:rsidRDefault="005663A2" w:rsidP="00D64087">
      <w:pPr>
        <w:pStyle w:val="ListParagraph"/>
        <w:numPr>
          <w:ilvl w:val="0"/>
          <w:numId w:val="43"/>
        </w:numPr>
      </w:pPr>
      <w:r w:rsidRPr="00D64087">
        <w:t>Castleman’s disease (CD)</w:t>
      </w:r>
    </w:p>
    <w:p w14:paraId="2DDA971A" w14:textId="77777777" w:rsidR="005663A2" w:rsidRPr="00D64087" w:rsidRDefault="005663A2" w:rsidP="00D64087">
      <w:pPr>
        <w:pStyle w:val="ListParagraph"/>
        <w:numPr>
          <w:ilvl w:val="0"/>
          <w:numId w:val="43"/>
        </w:numPr>
        <w:rPr>
          <w:lang w:val="fr-FR"/>
        </w:rPr>
      </w:pPr>
      <w:r w:rsidRPr="00D64087">
        <w:rPr>
          <w:lang w:val="fr-FR"/>
        </w:rPr>
        <w:t>Diffuse large B-</w:t>
      </w:r>
      <w:proofErr w:type="spellStart"/>
      <w:r w:rsidRPr="00D64087">
        <w:rPr>
          <w:lang w:val="fr-FR"/>
        </w:rPr>
        <w:t>cell</w:t>
      </w:r>
      <w:proofErr w:type="spellEnd"/>
      <w:r w:rsidRPr="00D64087">
        <w:rPr>
          <w:lang w:val="fr-FR"/>
        </w:rPr>
        <w:t xml:space="preserve"> </w:t>
      </w:r>
      <w:proofErr w:type="spellStart"/>
      <w:r w:rsidRPr="00D64087">
        <w:rPr>
          <w:lang w:val="fr-FR"/>
        </w:rPr>
        <w:t>lymphoma</w:t>
      </w:r>
      <w:proofErr w:type="spellEnd"/>
      <w:r w:rsidRPr="00D64087">
        <w:rPr>
          <w:lang w:val="fr-FR"/>
        </w:rPr>
        <w:t xml:space="preserve"> (DLBCL)</w:t>
      </w:r>
    </w:p>
    <w:p w14:paraId="35E38D9F" w14:textId="77777777" w:rsidR="005663A2" w:rsidRPr="00D64087" w:rsidRDefault="005663A2" w:rsidP="00D64087">
      <w:pPr>
        <w:pStyle w:val="ListParagraph"/>
        <w:numPr>
          <w:ilvl w:val="0"/>
          <w:numId w:val="43"/>
        </w:numPr>
      </w:pPr>
      <w:r w:rsidRPr="00D64087">
        <w:t>Follicular lymphoma</w:t>
      </w:r>
    </w:p>
    <w:p w14:paraId="75BCEA0B" w14:textId="77777777" w:rsidR="005663A2" w:rsidRPr="00D64087" w:rsidRDefault="005663A2" w:rsidP="00D64087">
      <w:pPr>
        <w:pStyle w:val="ListParagraph"/>
        <w:numPr>
          <w:ilvl w:val="0"/>
          <w:numId w:val="43"/>
        </w:numPr>
      </w:pPr>
      <w:r w:rsidRPr="00D64087">
        <w:t>High grade B-cell lymphoma (including high-grade B-cell lymphoma with translocations of MYC and BCL2 and/or BCL6 [double/triple hit lymphoma], high-grade B-cell lymphoma, not otherwise specified)</w:t>
      </w:r>
    </w:p>
    <w:p w14:paraId="6B6BADAA" w14:textId="77777777" w:rsidR="005663A2" w:rsidRPr="00D64087" w:rsidRDefault="005663A2" w:rsidP="00D64087">
      <w:pPr>
        <w:pStyle w:val="ListParagraph"/>
        <w:numPr>
          <w:ilvl w:val="0"/>
          <w:numId w:val="43"/>
        </w:numPr>
      </w:pPr>
      <w:r w:rsidRPr="00D64087">
        <w:t>Histologic transformation of indolent lymphomas to diffuse large B-cell lymphoma</w:t>
      </w:r>
    </w:p>
    <w:p w14:paraId="1CF254C3" w14:textId="77777777" w:rsidR="005663A2" w:rsidRPr="00D64087" w:rsidRDefault="005663A2" w:rsidP="00D64087">
      <w:pPr>
        <w:pStyle w:val="ListParagraph"/>
        <w:numPr>
          <w:ilvl w:val="0"/>
          <w:numId w:val="43"/>
        </w:numPr>
      </w:pPr>
      <w:r w:rsidRPr="00D64087">
        <w:t>Mantle cell lymphoma</w:t>
      </w:r>
    </w:p>
    <w:p w14:paraId="17AA7603" w14:textId="77777777" w:rsidR="005663A2" w:rsidRPr="00D64087" w:rsidRDefault="005663A2" w:rsidP="00D64087">
      <w:pPr>
        <w:pStyle w:val="ListParagraph"/>
        <w:numPr>
          <w:ilvl w:val="0"/>
          <w:numId w:val="43"/>
        </w:numPr>
      </w:pPr>
      <w:r w:rsidRPr="00D64087">
        <w:t>Post-transplant lymphoproliferative disorder (PTLD)</w:t>
      </w:r>
    </w:p>
    <w:p w14:paraId="017E1B46" w14:textId="77777777" w:rsidR="005663A2" w:rsidRPr="00D64087" w:rsidRDefault="005663A2" w:rsidP="00D64087">
      <w:pPr>
        <w:pStyle w:val="ListParagraph"/>
        <w:numPr>
          <w:ilvl w:val="0"/>
          <w:numId w:val="43"/>
        </w:numPr>
      </w:pPr>
      <w:r w:rsidRPr="00D64087">
        <w:t>Marginal zone lymphomas</w:t>
      </w:r>
    </w:p>
    <w:p w14:paraId="5DE8F929" w14:textId="77777777" w:rsidR="005663A2" w:rsidRPr="00D64087" w:rsidRDefault="005663A2" w:rsidP="00D64087">
      <w:pPr>
        <w:pStyle w:val="ListParagraph"/>
        <w:numPr>
          <w:ilvl w:val="1"/>
          <w:numId w:val="43"/>
        </w:numPr>
      </w:pPr>
      <w:r w:rsidRPr="00D64087">
        <w:t>Nodal marginal zone lymphoma</w:t>
      </w:r>
    </w:p>
    <w:p w14:paraId="4DAB8498" w14:textId="77777777" w:rsidR="005663A2" w:rsidRPr="00D64087" w:rsidRDefault="005663A2" w:rsidP="00D64087">
      <w:pPr>
        <w:pStyle w:val="ListParagraph"/>
        <w:numPr>
          <w:ilvl w:val="1"/>
          <w:numId w:val="43"/>
        </w:numPr>
      </w:pPr>
      <w:bookmarkStart w:id="9" w:name="OLE_LINK28"/>
      <w:r w:rsidRPr="00D64087">
        <w:t>Extranodal marginal zone lymphoma (gastric and non-gastric MALT lymphoma</w:t>
      </w:r>
      <w:bookmarkEnd w:id="9"/>
      <w:r w:rsidRPr="00D64087">
        <w:t>)</w:t>
      </w:r>
    </w:p>
    <w:p w14:paraId="58C31518" w14:textId="1E63BCE0" w:rsidR="005663A2" w:rsidRPr="00D64087" w:rsidRDefault="005663A2" w:rsidP="00381F59">
      <w:pPr>
        <w:pStyle w:val="ListParagraph"/>
        <w:numPr>
          <w:ilvl w:val="1"/>
          <w:numId w:val="43"/>
        </w:numPr>
        <w:spacing w:after="0"/>
      </w:pPr>
      <w:r w:rsidRPr="00D64087">
        <w:t>Splenic marginal zone lymphoma</w:t>
      </w:r>
    </w:p>
    <w:p w14:paraId="4F0D252A" w14:textId="10E7B7F8" w:rsidR="005663A2" w:rsidRPr="00467D83" w:rsidRDefault="005663A2" w:rsidP="005663A2">
      <w:pPr>
        <w:pStyle w:val="Heading3"/>
      </w:pPr>
      <w:r w:rsidRPr="00467D83">
        <w:t xml:space="preserve">Primary </w:t>
      </w:r>
      <w:r w:rsidR="00D64087" w:rsidRPr="00467D83">
        <w:t xml:space="preserve">Cutaneous </w:t>
      </w:r>
      <w:r w:rsidRPr="00467D83">
        <w:t>B</w:t>
      </w:r>
      <w:r w:rsidR="00D64087" w:rsidRPr="00467D83">
        <w:t>-</w:t>
      </w:r>
      <w:r w:rsidR="00D64087">
        <w:t>c</w:t>
      </w:r>
      <w:r w:rsidR="00D64087" w:rsidRPr="00467D83">
        <w:t>ell Lymphoma</w:t>
      </w:r>
      <w:r w:rsidR="00D64087" w:rsidRPr="00467D83">
        <w:rPr>
          <w:vertAlign w:val="superscript"/>
        </w:rPr>
        <w:t>2</w:t>
      </w:r>
      <w:r w:rsidR="00D64087" w:rsidRPr="00467D83">
        <w:t xml:space="preserve"> </w:t>
      </w:r>
    </w:p>
    <w:p w14:paraId="1425971E" w14:textId="77777777" w:rsidR="00B667A0" w:rsidRPr="00467D83" w:rsidRDefault="005663A2" w:rsidP="00381F59">
      <w:pPr>
        <w:pStyle w:val="BodyText"/>
        <w:spacing w:after="80"/>
      </w:pPr>
      <w:r w:rsidRPr="00467D83">
        <w:t>Authorization of 12 months may be granted for treatment of CD20 positive primary cutaneous B-cell lymphoma (e.g., cutaneous marginal zone lymphoma or cutaneous follicle center lymphomas)</w:t>
      </w:r>
      <w:r w:rsidR="00B667A0" w:rsidRPr="00467D83">
        <w:t>.</w:t>
      </w:r>
    </w:p>
    <w:p w14:paraId="72A0F50A" w14:textId="77777777" w:rsidR="005663A2" w:rsidRPr="00467D83" w:rsidRDefault="005663A2" w:rsidP="00381F59">
      <w:pPr>
        <w:pStyle w:val="Heading3"/>
        <w:keepNext w:val="0"/>
        <w:keepLines w:val="0"/>
        <w:widowControl w:val="0"/>
      </w:pPr>
      <w:r w:rsidRPr="00467D83">
        <w:t>Waldenström Macroglobulinemia/ Lymphoplasmacytic Lymphoma</w:t>
      </w:r>
      <w:r w:rsidRPr="00467D83">
        <w:rPr>
          <w:vertAlign w:val="superscript"/>
        </w:rPr>
        <w:t>2</w:t>
      </w:r>
    </w:p>
    <w:p w14:paraId="36E57F8E" w14:textId="6A54A3A5" w:rsidR="005663A2" w:rsidRPr="00467D83" w:rsidRDefault="005663A2" w:rsidP="00381F59">
      <w:pPr>
        <w:pStyle w:val="BodyText"/>
        <w:widowControl w:val="0"/>
      </w:pPr>
      <w:bookmarkStart w:id="10" w:name="OLE_LINK13"/>
      <w:r w:rsidRPr="00467D83">
        <w:t xml:space="preserve">Authorization of 12 months may be granted for treatment of CD20 positive </w:t>
      </w:r>
      <w:bookmarkEnd w:id="10"/>
      <w:r w:rsidRPr="00467D83">
        <w:t>Waldenström macroglobulinemia/ lymphoplasmacytic lymphoma</w:t>
      </w:r>
    </w:p>
    <w:p w14:paraId="1D5B4540" w14:textId="6A93B793" w:rsidR="005663A2" w:rsidRPr="00467D83" w:rsidRDefault="005663A2" w:rsidP="005663A2">
      <w:pPr>
        <w:pStyle w:val="Heading3"/>
      </w:pPr>
      <w:bookmarkStart w:id="11" w:name="OLE_LINK15"/>
      <w:r w:rsidRPr="00467D83">
        <w:t xml:space="preserve">Hodgkin </w:t>
      </w:r>
      <w:r w:rsidR="00D64087" w:rsidRPr="00467D83">
        <w:t>Lymphoma, Nodular Lymphocyte-Predominant</w:t>
      </w:r>
      <w:bookmarkEnd w:id="11"/>
      <w:r w:rsidR="00D64087" w:rsidRPr="00467D83">
        <w:rPr>
          <w:vertAlign w:val="superscript"/>
        </w:rPr>
        <w:t>2</w:t>
      </w:r>
    </w:p>
    <w:p w14:paraId="2961BFD2" w14:textId="517C79D9" w:rsidR="005663A2" w:rsidRPr="00467D83" w:rsidRDefault="005663A2" w:rsidP="005663A2">
      <w:pPr>
        <w:pStyle w:val="BodyText"/>
      </w:pPr>
      <w:r w:rsidRPr="00467D83">
        <w:t>Authorization of 12 months may be granted for treatment of CD20 positive Hodgkin lymphoma, nodular lymphocyte-predominant.</w:t>
      </w:r>
    </w:p>
    <w:p w14:paraId="3A643EC3" w14:textId="6C5B0BCB" w:rsidR="00A501AC" w:rsidRPr="00467D83" w:rsidRDefault="00A501AC" w:rsidP="00A501AC">
      <w:pPr>
        <w:pStyle w:val="Heading2"/>
      </w:pPr>
      <w:r w:rsidRPr="00467D83">
        <w:lastRenderedPageBreak/>
        <w:t>Continuation of Therapy</w:t>
      </w:r>
    </w:p>
    <w:p w14:paraId="39DE0018" w14:textId="3EB2B361" w:rsidR="00A501AC" w:rsidRPr="00467D83" w:rsidRDefault="005663A2" w:rsidP="00A501AC">
      <w:pPr>
        <w:pStyle w:val="BodyText"/>
      </w:pPr>
      <w:r w:rsidRPr="00467D83">
        <w:t>Authorization of 12 months may be granted for continued treatment in members requesting reauthorization for an indication listed in the coverage criteria section when there is no evidence of unacceptable toxicity</w:t>
      </w:r>
      <w:r w:rsidR="00A501AC" w:rsidRPr="00467D83">
        <w:t>.</w:t>
      </w:r>
    </w:p>
    <w:p w14:paraId="10DA4309" w14:textId="37859D7D" w:rsidR="00FF66BF" w:rsidRPr="00467D83" w:rsidRDefault="00FF66BF" w:rsidP="00FF66BF">
      <w:pPr>
        <w:pStyle w:val="Heading2"/>
      </w:pPr>
      <w:r w:rsidRPr="00467D83">
        <w:t>References</w:t>
      </w:r>
    </w:p>
    <w:p w14:paraId="3FD70270" w14:textId="77777777" w:rsidR="00086A9D" w:rsidRPr="00D64087" w:rsidRDefault="00086A9D" w:rsidP="00D64087">
      <w:pPr>
        <w:pStyle w:val="ReferenceOrdered"/>
      </w:pPr>
      <w:r w:rsidRPr="00D64087">
        <w:t>Rituxan Hycela [package insert]. South San Francisco, CA: Genentech, Inc.; June 2021.</w:t>
      </w:r>
    </w:p>
    <w:p w14:paraId="47E1A10C" w14:textId="21AF9021" w:rsidR="00C44990" w:rsidRPr="00C560F5" w:rsidRDefault="00086A9D" w:rsidP="00316F08">
      <w:pPr>
        <w:pStyle w:val="ReferenceOrdered"/>
      </w:pPr>
      <w:r w:rsidRPr="00D64087">
        <w:t>The NCCN Drugs &amp; Biologics Compendium® © 2024 National Comprehensive Cancer Network, Inc. https://www.nccn.org. Accessed April 1, 2024.</w:t>
      </w:r>
    </w:p>
    <w:sectPr w:rsidR="00C44990" w:rsidRPr="00C560F5" w:rsidSect="009330A1">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5A9AD" w14:textId="77777777" w:rsidR="009330A1" w:rsidRDefault="009330A1">
      <w:r>
        <w:separator/>
      </w:r>
    </w:p>
  </w:endnote>
  <w:endnote w:type="continuationSeparator" w:id="0">
    <w:p w14:paraId="26BAAC3B" w14:textId="77777777" w:rsidR="009330A1" w:rsidRDefault="009330A1">
      <w:r>
        <w:continuationSeparator/>
      </w:r>
    </w:p>
  </w:endnote>
  <w:endnote w:type="continuationNotice" w:id="1">
    <w:p w14:paraId="34FA2890" w14:textId="77777777" w:rsidR="009330A1" w:rsidRDefault="009330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86834" w14:textId="77777777" w:rsidR="00703732" w:rsidRDefault="007037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302F2F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03732" w:rsidRPr="00703732">
      <w:rPr>
        <w:rFonts w:cs="Arial"/>
        <w:noProof/>
        <w:sz w:val="16"/>
        <w:szCs w:val="16"/>
      </w:rPr>
      <w:t>Rituxan</w:t>
    </w:r>
    <w:r w:rsidR="00703732">
      <w:rPr>
        <w:rFonts w:cs="Arial"/>
        <w:noProof/>
        <w:snapToGrid w:val="0"/>
        <w:color w:val="000000"/>
        <w:sz w:val="16"/>
        <w:szCs w:val="16"/>
      </w:rPr>
      <w:t xml:space="preserve"> Hycela SGM</w:t>
    </w:r>
    <w:r w:rsidR="00703732" w:rsidRPr="00703732">
      <w:rPr>
        <w:rFonts w:cs="Arial"/>
        <w:noProof/>
        <w:sz w:val="16"/>
        <w:szCs w:val="16"/>
      </w:rPr>
      <w:t xml:space="preserve"> 2099-A</w:t>
    </w:r>
    <w:r w:rsidR="00703732">
      <w:rPr>
        <w:rFonts w:cs="Arial"/>
        <w:noProof/>
        <w:snapToGrid w:val="0"/>
        <w:color w:val="000000"/>
        <w:sz w:val="16"/>
        <w:szCs w:val="16"/>
      </w:rPr>
      <w:t xml:space="preserve"> P2024_R.docx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00A8E631"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8996AF5" w:rsidR="00F75C81" w:rsidRPr="00250F6F" w:rsidRDefault="00C36B72" w:rsidP="00250F6F">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2E438C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03732" w:rsidRPr="00703732">
      <w:rPr>
        <w:rFonts w:cs="Arial"/>
        <w:noProof/>
        <w:sz w:val="16"/>
        <w:szCs w:val="16"/>
      </w:rPr>
      <w:t>Rituxan</w:t>
    </w:r>
    <w:r w:rsidR="00703732">
      <w:rPr>
        <w:rFonts w:cs="Arial"/>
        <w:noProof/>
        <w:snapToGrid w:val="0"/>
        <w:color w:val="000000"/>
        <w:sz w:val="16"/>
        <w:szCs w:val="16"/>
      </w:rPr>
      <w:t xml:space="preserve"> Hycela </w:t>
    </w:r>
    <w:r w:rsidR="00703732" w:rsidRPr="00703732">
      <w:rPr>
        <w:rFonts w:cs="Arial"/>
        <w:noProof/>
        <w:sz w:val="16"/>
        <w:szCs w:val="16"/>
      </w:rPr>
      <w:t>SGM</w:t>
    </w:r>
    <w:r w:rsidR="00703732">
      <w:rPr>
        <w:rFonts w:cs="Arial"/>
        <w:noProof/>
        <w:snapToGrid w:val="0"/>
        <w:color w:val="000000"/>
        <w:sz w:val="16"/>
        <w:szCs w:val="16"/>
      </w:rPr>
      <w:t xml:space="preserve"> 2099-A</w:t>
    </w:r>
    <w:r w:rsidR="00703732" w:rsidRPr="00703732">
      <w:rPr>
        <w:rFonts w:cs="Arial"/>
        <w:noProof/>
        <w:sz w:val="16"/>
        <w:szCs w:val="16"/>
      </w:rPr>
      <w:t xml:space="preserve"> </w:t>
    </w:r>
    <w:r w:rsidR="00703732">
      <w:rPr>
        <w:rFonts w:cs="Arial"/>
        <w:noProof/>
        <w:snapToGrid w:val="0"/>
        <w:color w:val="000000"/>
        <w:sz w:val="16"/>
        <w:szCs w:val="16"/>
      </w:rPr>
      <w:t>P2024_R.docx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25E3674A"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5F7B163" w:rsidR="00ED04EC" w:rsidRPr="00F50D98" w:rsidRDefault="00F50D98" w:rsidP="00316F0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E16DA" w14:textId="77777777" w:rsidR="009330A1" w:rsidRDefault="009330A1">
      <w:r>
        <w:separator/>
      </w:r>
    </w:p>
  </w:footnote>
  <w:footnote w:type="continuationSeparator" w:id="0">
    <w:p w14:paraId="56D17850" w14:textId="77777777" w:rsidR="009330A1" w:rsidRDefault="009330A1">
      <w:r>
        <w:continuationSeparator/>
      </w:r>
    </w:p>
  </w:footnote>
  <w:footnote w:type="continuationNotice" w:id="1">
    <w:p w14:paraId="7E529FB2" w14:textId="77777777" w:rsidR="009330A1" w:rsidRDefault="009330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A42DE" w14:textId="77777777" w:rsidR="00703732" w:rsidRDefault="007037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467D83" w:rsidRDefault="00ED04EC" w:rsidP="00ED04EC">
          <w:pPr>
            <w:pStyle w:val="Header"/>
            <w:rPr>
              <w:rFonts w:cs="Arial"/>
              <w:sz w:val="16"/>
              <w:szCs w:val="16"/>
            </w:rPr>
          </w:pPr>
          <w:r w:rsidRPr="00467D83">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32BACA19" w:rsidR="00ED04EC" w:rsidRPr="00467D83" w:rsidRDefault="003C3E79" w:rsidP="00ED04EC">
          <w:pPr>
            <w:pStyle w:val="Header"/>
            <w:rPr>
              <w:rFonts w:cs="Arial"/>
              <w:sz w:val="16"/>
              <w:szCs w:val="16"/>
            </w:rPr>
          </w:pPr>
          <w:r w:rsidRPr="00467D83">
            <w:rPr>
              <w:rFonts w:cs="Arial"/>
              <w:sz w:val="16"/>
              <w:szCs w:val="16"/>
            </w:rPr>
            <w:t>2099-A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3C4CE" w14:textId="77777777" w:rsidR="00703732" w:rsidRDefault="007037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5922DEF"/>
    <w:multiLevelType w:val="hybridMultilevel"/>
    <w:tmpl w:val="CAB63334"/>
    <w:lvl w:ilvl="0" w:tplc="FFFFFFFF">
      <w:start w:val="1"/>
      <w:numFmt w:val="upperLetter"/>
      <w:lvlText w:val="%1."/>
      <w:lvlJc w:val="left"/>
      <w:pPr>
        <w:ind w:left="1620" w:hanging="360"/>
      </w:pPr>
      <w:rPr>
        <w:rFonts w:ascii="Arial" w:eastAsia="Times New Roman" w:hAnsi="Arial" w:cs="Arial"/>
        <w:color w:val="auto"/>
      </w:rPr>
    </w:lvl>
    <w:lvl w:ilvl="1" w:tplc="FFFFFFFF">
      <w:start w:val="1"/>
      <w:numFmt w:val="decimal"/>
      <w:lvlText w:val="%2."/>
      <w:lvlJc w:val="left"/>
      <w:pPr>
        <w:ind w:left="1440" w:hanging="360"/>
      </w:pPr>
      <w:rPr>
        <w:rFonts w:hint="default"/>
        <w:b w:val="0"/>
        <w:sz w:val="20"/>
        <w:szCs w:val="20"/>
      </w:rPr>
    </w:lvl>
    <w:lvl w:ilvl="2" w:tplc="FFFFFFFF">
      <w:start w:val="1"/>
      <w:numFmt w:val="lowerLetter"/>
      <w:lvlText w:val="%3."/>
      <w:lvlJc w:val="left"/>
      <w:pPr>
        <w:ind w:left="1080" w:hanging="360"/>
      </w:pPr>
      <w:rPr>
        <w:rFonts w:ascii="Arial" w:hAnsi="Arial" w:cs="Arial" w:hint="default"/>
        <w:sz w:val="20"/>
        <w:szCs w:val="20"/>
      </w:rPr>
    </w:lvl>
    <w:lvl w:ilvl="3" w:tplc="FFFFFFFF">
      <w:start w:val="1"/>
      <w:numFmt w:val="decimal"/>
      <w:lvlText w:val="%4."/>
      <w:lvlJc w:val="left"/>
      <w:pPr>
        <w:ind w:left="1440" w:hanging="360"/>
      </w:pPr>
      <w:rPr>
        <w:rFonts w:ascii="Arial" w:eastAsia="Times New Roman" w:hAnsi="Arial" w:cs="Arial" w:hint="default"/>
        <w:sz w:val="20"/>
        <w:szCs w:val="20"/>
      </w:rPr>
    </w:lvl>
    <w:lvl w:ilvl="4" w:tplc="40090005">
      <w:start w:val="1"/>
      <w:numFmt w:val="bullet"/>
      <w:lvlText w:val=""/>
      <w:lvlJc w:val="left"/>
      <w:pPr>
        <w:ind w:left="1800" w:hanging="360"/>
      </w:pPr>
      <w:rPr>
        <w:rFonts w:ascii="Wingdings" w:hAnsi="Wingdings" w:hint="default"/>
      </w:rPr>
    </w:lvl>
    <w:lvl w:ilvl="5" w:tplc="FFFFFFFF">
      <w:start w:val="1"/>
      <w:numFmt w:val="lowerRoman"/>
      <w:lvlText w:val="%6."/>
      <w:lvlJc w:val="left"/>
      <w:pPr>
        <w:ind w:left="2160" w:hanging="180"/>
      </w:pPr>
      <w:rPr>
        <w:rFonts w:hint="default"/>
        <w:b w:val="0"/>
        <w:sz w:val="20"/>
        <w:szCs w:val="20"/>
      </w:rPr>
    </w:lvl>
    <w:lvl w:ilvl="6" w:tplc="FFFFFFFF">
      <w:start w:val="8"/>
      <w:numFmt w:val="decimal"/>
      <w:lvlText w:val="%7"/>
      <w:lvlJc w:val="left"/>
      <w:pPr>
        <w:ind w:left="5400" w:hanging="360"/>
      </w:pPr>
      <w:rPr>
        <w:rFonts w:hint="default"/>
      </w:r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1A090036"/>
    <w:multiLevelType w:val="hybridMultilevel"/>
    <w:tmpl w:val="6EC28D02"/>
    <w:lvl w:ilvl="0" w:tplc="FFFFFFFF">
      <w:start w:val="1"/>
      <w:numFmt w:val="upperLetter"/>
      <w:lvlText w:val="%1."/>
      <w:lvlJc w:val="left"/>
      <w:pPr>
        <w:ind w:left="1620" w:hanging="360"/>
      </w:pPr>
      <w:rPr>
        <w:rFonts w:ascii="Arial" w:eastAsia="Times New Roman" w:hAnsi="Arial" w:cs="Arial"/>
        <w:color w:val="auto"/>
      </w:rPr>
    </w:lvl>
    <w:lvl w:ilvl="1" w:tplc="FFFFFFFF">
      <w:start w:val="1"/>
      <w:numFmt w:val="decimal"/>
      <w:lvlText w:val="%2."/>
      <w:lvlJc w:val="left"/>
      <w:pPr>
        <w:ind w:left="1440" w:hanging="360"/>
      </w:pPr>
      <w:rPr>
        <w:rFonts w:hint="default"/>
        <w:b w:val="0"/>
        <w:sz w:val="20"/>
        <w:szCs w:val="20"/>
      </w:rPr>
    </w:lvl>
    <w:lvl w:ilvl="2" w:tplc="FFFFFFFF">
      <w:start w:val="1"/>
      <w:numFmt w:val="lowerLetter"/>
      <w:lvlText w:val="%3."/>
      <w:lvlJc w:val="left"/>
      <w:pPr>
        <w:ind w:left="1080" w:hanging="360"/>
      </w:pPr>
      <w:rPr>
        <w:rFonts w:ascii="Arial" w:hAnsi="Arial" w:cs="Arial" w:hint="default"/>
        <w:sz w:val="20"/>
        <w:szCs w:val="20"/>
      </w:rPr>
    </w:lvl>
    <w:lvl w:ilvl="3" w:tplc="FFFFFFFF">
      <w:start w:val="1"/>
      <w:numFmt w:val="decimal"/>
      <w:lvlText w:val="%4."/>
      <w:lvlJc w:val="left"/>
      <w:pPr>
        <w:ind w:left="1440" w:hanging="360"/>
      </w:pPr>
      <w:rPr>
        <w:rFonts w:ascii="Arial" w:eastAsia="Times New Roman" w:hAnsi="Arial" w:cs="Arial" w:hint="default"/>
        <w:sz w:val="20"/>
        <w:szCs w:val="20"/>
      </w:rPr>
    </w:lvl>
    <w:lvl w:ilvl="4" w:tplc="FFFFFFFF">
      <w:start w:val="1"/>
      <w:numFmt w:val="lowerLetter"/>
      <w:lvlText w:val="%5."/>
      <w:lvlJc w:val="left"/>
      <w:pPr>
        <w:ind w:left="1800" w:hanging="360"/>
      </w:pPr>
    </w:lvl>
    <w:lvl w:ilvl="5" w:tplc="40090001">
      <w:start w:val="1"/>
      <w:numFmt w:val="bullet"/>
      <w:lvlText w:val=""/>
      <w:lvlJc w:val="left"/>
      <w:pPr>
        <w:ind w:left="1440" w:hanging="360"/>
      </w:pPr>
      <w:rPr>
        <w:rFonts w:ascii="Symbol" w:hAnsi="Symbol" w:hint="default"/>
      </w:rPr>
    </w:lvl>
    <w:lvl w:ilvl="6" w:tplc="FFFFFFFF">
      <w:start w:val="8"/>
      <w:numFmt w:val="decimal"/>
      <w:lvlText w:val="%7"/>
      <w:lvlJc w:val="left"/>
      <w:pPr>
        <w:ind w:left="5400" w:hanging="360"/>
      </w:pPr>
      <w:rPr>
        <w:rFonts w:hint="default"/>
      </w:r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1B36215A"/>
    <w:multiLevelType w:val="hybridMultilevel"/>
    <w:tmpl w:val="207A3E2A"/>
    <w:lvl w:ilvl="0" w:tplc="FFFFFFFF">
      <w:start w:val="1"/>
      <w:numFmt w:val="upperLetter"/>
      <w:lvlText w:val="%1."/>
      <w:lvlJc w:val="left"/>
      <w:pPr>
        <w:ind w:left="1620" w:hanging="360"/>
      </w:pPr>
      <w:rPr>
        <w:rFonts w:ascii="Arial" w:eastAsia="Times New Roman" w:hAnsi="Arial" w:cs="Arial"/>
        <w:color w:val="auto"/>
      </w:rPr>
    </w:lvl>
    <w:lvl w:ilvl="1" w:tplc="40090001">
      <w:start w:val="1"/>
      <w:numFmt w:val="bullet"/>
      <w:lvlText w:val=""/>
      <w:lvlJc w:val="left"/>
      <w:pPr>
        <w:ind w:left="1440" w:hanging="360"/>
      </w:pPr>
      <w:rPr>
        <w:rFonts w:ascii="Symbol" w:hAnsi="Symbol" w:hint="default"/>
      </w:rPr>
    </w:lvl>
    <w:lvl w:ilvl="2" w:tplc="FFFFFFFF">
      <w:start w:val="1"/>
      <w:numFmt w:val="lowerLetter"/>
      <w:lvlText w:val="%3."/>
      <w:lvlJc w:val="left"/>
      <w:pPr>
        <w:ind w:left="1080" w:hanging="360"/>
      </w:pPr>
      <w:rPr>
        <w:rFonts w:ascii="Arial" w:hAnsi="Arial" w:cs="Arial" w:hint="default"/>
        <w:sz w:val="20"/>
        <w:szCs w:val="20"/>
      </w:rPr>
    </w:lvl>
    <w:lvl w:ilvl="3" w:tplc="FFFFFFFF">
      <w:start w:val="1"/>
      <w:numFmt w:val="decimal"/>
      <w:lvlText w:val="%4."/>
      <w:lvlJc w:val="left"/>
      <w:pPr>
        <w:ind w:left="1440" w:hanging="360"/>
      </w:pPr>
      <w:rPr>
        <w:rFonts w:ascii="Arial" w:eastAsia="Times New Roman" w:hAnsi="Arial" w:cs="Arial" w:hint="default"/>
        <w:sz w:val="20"/>
        <w:szCs w:val="20"/>
      </w:rPr>
    </w:lvl>
    <w:lvl w:ilvl="4" w:tplc="FFFFFFFF">
      <w:start w:val="1"/>
      <w:numFmt w:val="lowerLetter"/>
      <w:lvlText w:val="%5."/>
      <w:lvlJc w:val="left"/>
      <w:pPr>
        <w:ind w:left="1800" w:hanging="360"/>
      </w:pPr>
    </w:lvl>
    <w:lvl w:ilvl="5" w:tplc="FFFFFFFF">
      <w:start w:val="1"/>
      <w:numFmt w:val="lowerRoman"/>
      <w:lvlText w:val="%6."/>
      <w:lvlJc w:val="left"/>
      <w:pPr>
        <w:ind w:left="2160" w:hanging="180"/>
      </w:pPr>
      <w:rPr>
        <w:rFonts w:hint="default"/>
        <w:b w:val="0"/>
        <w:sz w:val="20"/>
        <w:szCs w:val="20"/>
      </w:rPr>
    </w:lvl>
    <w:lvl w:ilvl="6" w:tplc="FFFFFFFF">
      <w:start w:val="8"/>
      <w:numFmt w:val="decimal"/>
      <w:lvlText w:val="%7"/>
      <w:lvlJc w:val="left"/>
      <w:pPr>
        <w:ind w:left="5400" w:hanging="360"/>
      </w:pPr>
      <w:rPr>
        <w:rFonts w:hint="default"/>
      </w:r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982E34"/>
    <w:multiLevelType w:val="hybridMultilevel"/>
    <w:tmpl w:val="64D816D6"/>
    <w:lvl w:ilvl="0" w:tplc="FFFFFFFF">
      <w:start w:val="1"/>
      <w:numFmt w:val="upperLetter"/>
      <w:lvlText w:val="%1."/>
      <w:lvlJc w:val="left"/>
      <w:pPr>
        <w:ind w:left="1620" w:hanging="360"/>
      </w:pPr>
      <w:rPr>
        <w:rFonts w:ascii="Arial" w:eastAsia="Times New Roman" w:hAnsi="Arial" w:cs="Arial"/>
        <w:color w:val="auto"/>
      </w:rPr>
    </w:lvl>
    <w:lvl w:ilvl="1" w:tplc="FFFFFFFF">
      <w:start w:val="1"/>
      <w:numFmt w:val="decimal"/>
      <w:lvlText w:val="%2."/>
      <w:lvlJc w:val="left"/>
      <w:pPr>
        <w:ind w:left="1440" w:hanging="360"/>
      </w:pPr>
      <w:rPr>
        <w:rFonts w:hint="default"/>
        <w:b w:val="0"/>
        <w:sz w:val="20"/>
        <w:szCs w:val="20"/>
      </w:rPr>
    </w:lvl>
    <w:lvl w:ilvl="2" w:tplc="FFFFFFFF">
      <w:start w:val="1"/>
      <w:numFmt w:val="lowerLetter"/>
      <w:lvlText w:val="%3."/>
      <w:lvlJc w:val="left"/>
      <w:pPr>
        <w:ind w:left="1080" w:hanging="360"/>
      </w:pPr>
      <w:rPr>
        <w:rFonts w:ascii="Arial" w:hAnsi="Arial" w:cs="Arial" w:hint="default"/>
        <w:sz w:val="20"/>
        <w:szCs w:val="20"/>
      </w:rPr>
    </w:lvl>
    <w:lvl w:ilvl="3" w:tplc="FFFFFFFF">
      <w:start w:val="1"/>
      <w:numFmt w:val="decimal"/>
      <w:lvlText w:val="%4."/>
      <w:lvlJc w:val="left"/>
      <w:pPr>
        <w:ind w:left="1440" w:hanging="360"/>
      </w:pPr>
      <w:rPr>
        <w:rFonts w:ascii="Arial" w:eastAsia="Times New Roman" w:hAnsi="Arial" w:cs="Arial" w:hint="default"/>
        <w:sz w:val="20"/>
        <w:szCs w:val="20"/>
      </w:rPr>
    </w:lvl>
    <w:lvl w:ilvl="4" w:tplc="FFFFFFFF">
      <w:start w:val="1"/>
      <w:numFmt w:val="lowerLetter"/>
      <w:lvlText w:val="%5."/>
      <w:lvlJc w:val="left"/>
      <w:pPr>
        <w:ind w:left="1800" w:hanging="360"/>
      </w:pPr>
    </w:lvl>
    <w:lvl w:ilvl="5" w:tplc="40090001">
      <w:start w:val="1"/>
      <w:numFmt w:val="bullet"/>
      <w:lvlText w:val=""/>
      <w:lvlJc w:val="left"/>
      <w:pPr>
        <w:ind w:left="1440" w:hanging="360"/>
      </w:pPr>
      <w:rPr>
        <w:rFonts w:ascii="Symbol" w:hAnsi="Symbol" w:hint="default"/>
      </w:rPr>
    </w:lvl>
    <w:lvl w:ilvl="6" w:tplc="FFFFFFFF">
      <w:start w:val="8"/>
      <w:numFmt w:val="decimal"/>
      <w:lvlText w:val="%7"/>
      <w:lvlJc w:val="left"/>
      <w:pPr>
        <w:ind w:left="5400" w:hanging="360"/>
      </w:pPr>
      <w:rPr>
        <w:rFonts w:hint="default"/>
      </w:r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6280636"/>
    <w:multiLevelType w:val="hybridMultilevel"/>
    <w:tmpl w:val="3D7C1046"/>
    <w:lvl w:ilvl="0" w:tplc="9D16F11A">
      <w:start w:val="1"/>
      <w:numFmt w:val="upperLetter"/>
      <w:lvlText w:val="%1."/>
      <w:lvlJc w:val="left"/>
      <w:pPr>
        <w:ind w:left="1080" w:hanging="360"/>
      </w:pPr>
      <w:rPr>
        <w:rFonts w:ascii="Arial" w:eastAsia="Times New Roman" w:hAnsi="Arial" w:cs="Arial"/>
        <w:color w:val="auto"/>
      </w:rPr>
    </w:lvl>
    <w:lvl w:ilvl="1" w:tplc="D64A6F08">
      <w:start w:val="1"/>
      <w:numFmt w:val="decimal"/>
      <w:lvlText w:val="%2."/>
      <w:lvlJc w:val="left"/>
      <w:pPr>
        <w:ind w:left="1440" w:hanging="360"/>
      </w:pPr>
      <w:rPr>
        <w:rFonts w:ascii="Arial" w:eastAsia="Times New Roman" w:hAnsi="Arial" w:cs="Arial"/>
      </w:rPr>
    </w:lvl>
    <w:lvl w:ilvl="2" w:tplc="0409001B">
      <w:start w:val="1"/>
      <w:numFmt w:val="lowerRoman"/>
      <w:lvlText w:val="%3."/>
      <w:lvlJc w:val="right"/>
      <w:pPr>
        <w:ind w:left="2520" w:hanging="180"/>
      </w:pPr>
    </w:lvl>
    <w:lvl w:ilvl="3" w:tplc="B4A820D8">
      <w:start w:val="1"/>
      <w:numFmt w:val="decimal"/>
      <w:lvlText w:val="%4."/>
      <w:lvlJc w:val="left"/>
      <w:pPr>
        <w:ind w:left="1440" w:hanging="360"/>
      </w:pPr>
      <w:rPr>
        <w:rFonts w:ascii="Arial" w:eastAsia="Times New Roman" w:hAnsi="Arial" w:cs="Arial"/>
      </w:rPr>
    </w:lvl>
    <w:lvl w:ilvl="4" w:tplc="04090019">
      <w:start w:val="1"/>
      <w:numFmt w:val="lowerLetter"/>
      <w:lvlText w:val="%5."/>
      <w:lvlJc w:val="left"/>
      <w:pPr>
        <w:ind w:left="1800" w:hanging="360"/>
      </w:pPr>
    </w:lvl>
    <w:lvl w:ilvl="5" w:tplc="0409001B">
      <w:start w:val="1"/>
      <w:numFmt w:val="lowerRoman"/>
      <w:lvlText w:val="%6."/>
      <w:lvlJc w:val="right"/>
      <w:pPr>
        <w:ind w:left="216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A422A2"/>
    <w:multiLevelType w:val="hybridMultilevel"/>
    <w:tmpl w:val="74160B54"/>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67A6C7C"/>
    <w:multiLevelType w:val="hybridMultilevel"/>
    <w:tmpl w:val="72F49A24"/>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B07FF1"/>
    <w:multiLevelType w:val="hybridMultilevel"/>
    <w:tmpl w:val="CCA0A07E"/>
    <w:lvl w:ilvl="0" w:tplc="B108F384">
      <w:start w:val="1"/>
      <w:numFmt w:val="upperLetter"/>
      <w:lvlText w:val="%1."/>
      <w:lvlJc w:val="left"/>
      <w:pPr>
        <w:ind w:left="1080" w:hanging="360"/>
      </w:pPr>
      <w:rPr>
        <w:rFonts w:ascii="Arial" w:hAnsi="Arial" w:cs="Arial" w:hint="default"/>
        <w:b/>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E4E4189"/>
    <w:multiLevelType w:val="hybridMultilevel"/>
    <w:tmpl w:val="04B63576"/>
    <w:lvl w:ilvl="0" w:tplc="9D16F11A">
      <w:start w:val="1"/>
      <w:numFmt w:val="upperLetter"/>
      <w:lvlText w:val="%1."/>
      <w:lvlJc w:val="left"/>
      <w:pPr>
        <w:ind w:left="1620" w:hanging="360"/>
      </w:pPr>
      <w:rPr>
        <w:rFonts w:ascii="Arial" w:eastAsia="Times New Roman" w:hAnsi="Arial" w:cs="Arial"/>
        <w:color w:val="auto"/>
      </w:rPr>
    </w:lvl>
    <w:lvl w:ilvl="1" w:tplc="0409000F">
      <w:start w:val="1"/>
      <w:numFmt w:val="decimal"/>
      <w:lvlText w:val="%2."/>
      <w:lvlJc w:val="left"/>
      <w:pPr>
        <w:ind w:left="1440" w:hanging="360"/>
      </w:pPr>
      <w:rPr>
        <w:rFonts w:hint="default"/>
        <w:b w:val="0"/>
        <w:sz w:val="20"/>
        <w:szCs w:val="20"/>
      </w:rPr>
    </w:lvl>
    <w:lvl w:ilvl="2" w:tplc="E8606580">
      <w:start w:val="1"/>
      <w:numFmt w:val="lowerLetter"/>
      <w:lvlText w:val="%3."/>
      <w:lvlJc w:val="left"/>
      <w:pPr>
        <w:ind w:left="1080" w:hanging="360"/>
      </w:pPr>
      <w:rPr>
        <w:rFonts w:ascii="Arial" w:hAnsi="Arial" w:cs="Arial" w:hint="default"/>
        <w:sz w:val="20"/>
        <w:szCs w:val="20"/>
      </w:rPr>
    </w:lvl>
    <w:lvl w:ilvl="3" w:tplc="37B23B2C">
      <w:start w:val="1"/>
      <w:numFmt w:val="decimal"/>
      <w:lvlText w:val="%4."/>
      <w:lvlJc w:val="left"/>
      <w:pPr>
        <w:ind w:left="1440" w:hanging="360"/>
      </w:pPr>
      <w:rPr>
        <w:rFonts w:ascii="Arial" w:eastAsia="Times New Roman" w:hAnsi="Arial" w:cs="Arial" w:hint="default"/>
        <w:sz w:val="20"/>
        <w:szCs w:val="20"/>
      </w:rPr>
    </w:lvl>
    <w:lvl w:ilvl="4" w:tplc="04090019">
      <w:start w:val="1"/>
      <w:numFmt w:val="lowerLetter"/>
      <w:lvlText w:val="%5."/>
      <w:lvlJc w:val="left"/>
      <w:pPr>
        <w:ind w:left="1800" w:hanging="360"/>
      </w:pPr>
    </w:lvl>
    <w:lvl w:ilvl="5" w:tplc="0C988884">
      <w:start w:val="1"/>
      <w:numFmt w:val="lowerRoman"/>
      <w:lvlText w:val="%6."/>
      <w:lvlJc w:val="left"/>
      <w:pPr>
        <w:ind w:left="2160" w:hanging="180"/>
      </w:pPr>
      <w:rPr>
        <w:rFonts w:hint="default"/>
        <w:b w:val="0"/>
        <w:sz w:val="20"/>
        <w:szCs w:val="20"/>
      </w:rPr>
    </w:lvl>
    <w:lvl w:ilvl="6" w:tplc="E1C86FA4">
      <w:start w:val="8"/>
      <w:numFmt w:val="decimal"/>
      <w:lvlText w:val="%7"/>
      <w:lvlJc w:val="left"/>
      <w:pPr>
        <w:ind w:left="5400" w:hanging="360"/>
      </w:pPr>
      <w:rPr>
        <w:rFonts w:hint="default"/>
      </w:r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2A35E7"/>
    <w:multiLevelType w:val="hybridMultilevel"/>
    <w:tmpl w:val="4F00473A"/>
    <w:lvl w:ilvl="0" w:tplc="FFFFFFFF">
      <w:start w:val="1"/>
      <w:numFmt w:val="upperLetter"/>
      <w:lvlText w:val="%1."/>
      <w:lvlJc w:val="left"/>
      <w:pPr>
        <w:ind w:left="1620" w:hanging="360"/>
      </w:pPr>
      <w:rPr>
        <w:rFonts w:ascii="Arial" w:eastAsia="Times New Roman" w:hAnsi="Arial" w:cs="Arial"/>
        <w:color w:val="auto"/>
      </w:rPr>
    </w:lvl>
    <w:lvl w:ilvl="1" w:tplc="FFFFFFFF">
      <w:start w:val="1"/>
      <w:numFmt w:val="decimal"/>
      <w:lvlText w:val="%2."/>
      <w:lvlJc w:val="left"/>
      <w:pPr>
        <w:ind w:left="1440" w:hanging="360"/>
      </w:pPr>
      <w:rPr>
        <w:rFonts w:hint="default"/>
        <w:b w:val="0"/>
        <w:sz w:val="20"/>
        <w:szCs w:val="20"/>
      </w:rPr>
    </w:lvl>
    <w:lvl w:ilvl="2" w:tplc="FFFFFFFF">
      <w:start w:val="1"/>
      <w:numFmt w:val="lowerLetter"/>
      <w:lvlText w:val="%3."/>
      <w:lvlJc w:val="left"/>
      <w:pPr>
        <w:ind w:left="1080" w:hanging="360"/>
      </w:pPr>
      <w:rPr>
        <w:rFonts w:ascii="Arial" w:hAnsi="Arial" w:cs="Arial" w:hint="default"/>
        <w:sz w:val="20"/>
        <w:szCs w:val="20"/>
      </w:rPr>
    </w:lvl>
    <w:lvl w:ilvl="3" w:tplc="40090001">
      <w:start w:val="1"/>
      <w:numFmt w:val="bullet"/>
      <w:lvlText w:val=""/>
      <w:lvlJc w:val="left"/>
      <w:pPr>
        <w:ind w:left="1440" w:hanging="360"/>
      </w:pPr>
      <w:rPr>
        <w:rFonts w:ascii="Symbol" w:hAnsi="Symbol" w:hint="default"/>
      </w:rPr>
    </w:lvl>
    <w:lvl w:ilvl="4" w:tplc="FFFFFFFF">
      <w:start w:val="1"/>
      <w:numFmt w:val="lowerLetter"/>
      <w:lvlText w:val="%5."/>
      <w:lvlJc w:val="left"/>
      <w:pPr>
        <w:ind w:left="1800" w:hanging="360"/>
      </w:pPr>
    </w:lvl>
    <w:lvl w:ilvl="5" w:tplc="FFFFFFFF">
      <w:start w:val="1"/>
      <w:numFmt w:val="lowerRoman"/>
      <w:lvlText w:val="%6."/>
      <w:lvlJc w:val="left"/>
      <w:pPr>
        <w:ind w:left="2160" w:hanging="180"/>
      </w:pPr>
      <w:rPr>
        <w:rFonts w:hint="default"/>
        <w:b w:val="0"/>
        <w:sz w:val="20"/>
        <w:szCs w:val="20"/>
      </w:rPr>
    </w:lvl>
    <w:lvl w:ilvl="6" w:tplc="FFFFFFFF">
      <w:start w:val="8"/>
      <w:numFmt w:val="decimal"/>
      <w:lvlText w:val="%7"/>
      <w:lvlJc w:val="left"/>
      <w:pPr>
        <w:ind w:left="5400" w:hanging="360"/>
      </w:pPr>
      <w:rPr>
        <w:rFonts w:hint="default"/>
      </w:r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536A44C9"/>
    <w:multiLevelType w:val="hybridMultilevel"/>
    <w:tmpl w:val="9CF4E50E"/>
    <w:lvl w:ilvl="0" w:tplc="FFFFFFFF">
      <w:start w:val="1"/>
      <w:numFmt w:val="upperLetter"/>
      <w:lvlText w:val="%1."/>
      <w:lvlJc w:val="left"/>
      <w:pPr>
        <w:ind w:left="1620" w:hanging="360"/>
      </w:pPr>
      <w:rPr>
        <w:rFonts w:ascii="Arial" w:eastAsia="Times New Roman" w:hAnsi="Arial" w:cs="Arial"/>
        <w:color w:val="auto"/>
      </w:rPr>
    </w:lvl>
    <w:lvl w:ilvl="1" w:tplc="40090001">
      <w:start w:val="1"/>
      <w:numFmt w:val="bullet"/>
      <w:lvlText w:val=""/>
      <w:lvlJc w:val="left"/>
      <w:pPr>
        <w:ind w:left="1440" w:hanging="360"/>
      </w:pPr>
      <w:rPr>
        <w:rFonts w:ascii="Symbol" w:hAnsi="Symbol" w:hint="default"/>
      </w:rPr>
    </w:lvl>
    <w:lvl w:ilvl="2" w:tplc="FFFFFFFF">
      <w:start w:val="1"/>
      <w:numFmt w:val="lowerLetter"/>
      <w:lvlText w:val="%3."/>
      <w:lvlJc w:val="left"/>
      <w:pPr>
        <w:ind w:left="1080" w:hanging="360"/>
      </w:pPr>
      <w:rPr>
        <w:rFonts w:ascii="Arial" w:hAnsi="Arial" w:cs="Arial" w:hint="default"/>
        <w:sz w:val="20"/>
        <w:szCs w:val="20"/>
      </w:rPr>
    </w:lvl>
    <w:lvl w:ilvl="3" w:tplc="FFFFFFFF">
      <w:start w:val="1"/>
      <w:numFmt w:val="decimal"/>
      <w:lvlText w:val="%4."/>
      <w:lvlJc w:val="left"/>
      <w:pPr>
        <w:ind w:left="1440" w:hanging="360"/>
      </w:pPr>
      <w:rPr>
        <w:rFonts w:ascii="Arial" w:eastAsia="Times New Roman" w:hAnsi="Arial" w:cs="Arial" w:hint="default"/>
        <w:sz w:val="20"/>
        <w:szCs w:val="20"/>
      </w:rPr>
    </w:lvl>
    <w:lvl w:ilvl="4" w:tplc="FFFFFFFF">
      <w:start w:val="1"/>
      <w:numFmt w:val="lowerLetter"/>
      <w:lvlText w:val="%5."/>
      <w:lvlJc w:val="left"/>
      <w:pPr>
        <w:ind w:left="1800" w:hanging="360"/>
      </w:pPr>
    </w:lvl>
    <w:lvl w:ilvl="5" w:tplc="FFFFFFFF">
      <w:start w:val="1"/>
      <w:numFmt w:val="lowerRoman"/>
      <w:lvlText w:val="%6."/>
      <w:lvlJc w:val="left"/>
      <w:pPr>
        <w:ind w:left="2160" w:hanging="180"/>
      </w:pPr>
      <w:rPr>
        <w:rFonts w:hint="default"/>
        <w:b w:val="0"/>
        <w:sz w:val="20"/>
        <w:szCs w:val="20"/>
      </w:rPr>
    </w:lvl>
    <w:lvl w:ilvl="6" w:tplc="FFFFFFFF">
      <w:start w:val="8"/>
      <w:numFmt w:val="decimal"/>
      <w:lvlText w:val="%7"/>
      <w:lvlJc w:val="left"/>
      <w:pPr>
        <w:ind w:left="5400" w:hanging="360"/>
      </w:pPr>
      <w:rPr>
        <w:rFonts w:hint="default"/>
      </w:r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65A1197"/>
    <w:multiLevelType w:val="hybridMultilevel"/>
    <w:tmpl w:val="9FB44CBC"/>
    <w:lvl w:ilvl="0" w:tplc="FFFFFFFF">
      <w:start w:val="1"/>
      <w:numFmt w:val="upperLetter"/>
      <w:lvlText w:val="%1."/>
      <w:lvlJc w:val="left"/>
      <w:pPr>
        <w:ind w:left="1620" w:hanging="360"/>
      </w:pPr>
      <w:rPr>
        <w:rFonts w:ascii="Arial" w:eastAsia="Times New Roman" w:hAnsi="Arial" w:cs="Arial"/>
        <w:color w:val="auto"/>
      </w:rPr>
    </w:lvl>
    <w:lvl w:ilvl="1" w:tplc="FFFFFFFF">
      <w:start w:val="1"/>
      <w:numFmt w:val="decimal"/>
      <w:lvlText w:val="%2."/>
      <w:lvlJc w:val="left"/>
      <w:pPr>
        <w:ind w:left="1440" w:hanging="360"/>
      </w:pPr>
      <w:rPr>
        <w:rFonts w:hint="default"/>
        <w:b w:val="0"/>
        <w:sz w:val="20"/>
        <w:szCs w:val="20"/>
      </w:rPr>
    </w:lvl>
    <w:lvl w:ilvl="2" w:tplc="40090005">
      <w:start w:val="1"/>
      <w:numFmt w:val="bullet"/>
      <w:lvlText w:val=""/>
      <w:lvlJc w:val="left"/>
      <w:pPr>
        <w:ind w:left="1800" w:hanging="360"/>
      </w:pPr>
      <w:rPr>
        <w:rFonts w:ascii="Wingdings" w:hAnsi="Wingdings" w:hint="default"/>
      </w:rPr>
    </w:lvl>
    <w:lvl w:ilvl="3" w:tplc="FFFFFFFF">
      <w:start w:val="1"/>
      <w:numFmt w:val="decimal"/>
      <w:lvlText w:val="%4."/>
      <w:lvlJc w:val="left"/>
      <w:pPr>
        <w:ind w:left="1440" w:hanging="360"/>
      </w:pPr>
      <w:rPr>
        <w:rFonts w:ascii="Arial" w:eastAsia="Times New Roman" w:hAnsi="Arial" w:cs="Arial" w:hint="default"/>
        <w:sz w:val="20"/>
        <w:szCs w:val="20"/>
      </w:rPr>
    </w:lvl>
    <w:lvl w:ilvl="4" w:tplc="FFFFFFFF">
      <w:start w:val="1"/>
      <w:numFmt w:val="lowerLetter"/>
      <w:lvlText w:val="%5."/>
      <w:lvlJc w:val="left"/>
      <w:pPr>
        <w:ind w:left="1800" w:hanging="360"/>
      </w:pPr>
    </w:lvl>
    <w:lvl w:ilvl="5" w:tplc="FFFFFFFF">
      <w:start w:val="1"/>
      <w:numFmt w:val="lowerRoman"/>
      <w:lvlText w:val="%6."/>
      <w:lvlJc w:val="left"/>
      <w:pPr>
        <w:ind w:left="2160" w:hanging="180"/>
      </w:pPr>
      <w:rPr>
        <w:rFonts w:hint="default"/>
        <w:b w:val="0"/>
        <w:sz w:val="20"/>
        <w:szCs w:val="20"/>
      </w:rPr>
    </w:lvl>
    <w:lvl w:ilvl="6" w:tplc="FFFFFFFF">
      <w:start w:val="8"/>
      <w:numFmt w:val="decimal"/>
      <w:lvlText w:val="%7"/>
      <w:lvlJc w:val="left"/>
      <w:pPr>
        <w:ind w:left="5400" w:hanging="360"/>
      </w:pPr>
      <w:rPr>
        <w:rFonts w:hint="default"/>
      </w:r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5B51B1"/>
    <w:multiLevelType w:val="hybridMultilevel"/>
    <w:tmpl w:val="F6E65A36"/>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60B541A"/>
    <w:multiLevelType w:val="hybridMultilevel"/>
    <w:tmpl w:val="D44E5722"/>
    <w:lvl w:ilvl="0" w:tplc="FFFFFFFF">
      <w:start w:val="1"/>
      <w:numFmt w:val="upperLetter"/>
      <w:lvlText w:val="%1."/>
      <w:lvlJc w:val="left"/>
      <w:pPr>
        <w:ind w:left="1620" w:hanging="360"/>
      </w:pPr>
      <w:rPr>
        <w:rFonts w:ascii="Arial" w:eastAsia="Times New Roman" w:hAnsi="Arial" w:cs="Arial"/>
        <w:color w:val="auto"/>
      </w:rPr>
    </w:lvl>
    <w:lvl w:ilvl="1" w:tplc="FFFFFFFF">
      <w:start w:val="1"/>
      <w:numFmt w:val="decimal"/>
      <w:lvlText w:val="%2."/>
      <w:lvlJc w:val="left"/>
      <w:pPr>
        <w:ind w:left="1440" w:hanging="360"/>
      </w:pPr>
      <w:rPr>
        <w:rFonts w:hint="default"/>
        <w:b w:val="0"/>
        <w:sz w:val="20"/>
        <w:szCs w:val="20"/>
      </w:rPr>
    </w:lvl>
    <w:lvl w:ilvl="2" w:tplc="FFFFFFFF">
      <w:start w:val="1"/>
      <w:numFmt w:val="lowerLetter"/>
      <w:lvlText w:val="%3."/>
      <w:lvlJc w:val="left"/>
      <w:pPr>
        <w:ind w:left="1080" w:hanging="360"/>
      </w:pPr>
      <w:rPr>
        <w:rFonts w:ascii="Arial" w:hAnsi="Arial" w:cs="Arial" w:hint="default"/>
        <w:sz w:val="20"/>
        <w:szCs w:val="20"/>
      </w:rPr>
    </w:lvl>
    <w:lvl w:ilvl="3" w:tplc="FFFFFFFF">
      <w:start w:val="1"/>
      <w:numFmt w:val="decimal"/>
      <w:lvlText w:val="%4."/>
      <w:lvlJc w:val="left"/>
      <w:pPr>
        <w:ind w:left="1440" w:hanging="360"/>
      </w:pPr>
      <w:rPr>
        <w:rFonts w:ascii="Arial" w:eastAsia="Times New Roman" w:hAnsi="Arial" w:cs="Arial" w:hint="default"/>
        <w:sz w:val="20"/>
        <w:szCs w:val="20"/>
      </w:rPr>
    </w:lvl>
    <w:lvl w:ilvl="4" w:tplc="FFFFFFFF">
      <w:start w:val="1"/>
      <w:numFmt w:val="lowerLetter"/>
      <w:lvlText w:val="%5."/>
      <w:lvlJc w:val="left"/>
      <w:pPr>
        <w:ind w:left="1800" w:hanging="360"/>
      </w:pPr>
    </w:lvl>
    <w:lvl w:ilvl="5" w:tplc="40090005">
      <w:start w:val="1"/>
      <w:numFmt w:val="bullet"/>
      <w:lvlText w:val=""/>
      <w:lvlJc w:val="left"/>
      <w:pPr>
        <w:ind w:left="1800" w:hanging="360"/>
      </w:pPr>
      <w:rPr>
        <w:rFonts w:ascii="Wingdings" w:hAnsi="Wingdings" w:hint="default"/>
      </w:rPr>
    </w:lvl>
    <w:lvl w:ilvl="6" w:tplc="FFFFFFFF">
      <w:start w:val="8"/>
      <w:numFmt w:val="decimal"/>
      <w:lvlText w:val="%7"/>
      <w:lvlJc w:val="left"/>
      <w:pPr>
        <w:ind w:left="5400" w:hanging="360"/>
      </w:pPr>
      <w:rPr>
        <w:rFonts w:hint="default"/>
      </w:r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6A368C"/>
    <w:multiLevelType w:val="hybridMultilevel"/>
    <w:tmpl w:val="C4CC5824"/>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B6460D"/>
    <w:multiLevelType w:val="hybridMultilevel"/>
    <w:tmpl w:val="42A06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35"/>
  </w:num>
  <w:num w:numId="3" w16cid:durableId="611589570">
    <w:abstractNumId w:val="2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21"/>
  </w:num>
  <w:num w:numId="17" w16cid:durableId="2128498676">
    <w:abstractNumId w:val="39"/>
  </w:num>
  <w:num w:numId="18" w16cid:durableId="299724409">
    <w:abstractNumId w:val="32"/>
  </w:num>
  <w:num w:numId="19" w16cid:durableId="214585573">
    <w:abstractNumId w:val="16"/>
  </w:num>
  <w:num w:numId="20" w16cid:durableId="1289816170">
    <w:abstractNumId w:val="17"/>
  </w:num>
  <w:num w:numId="21" w16cid:durableId="1066490929">
    <w:abstractNumId w:val="42"/>
  </w:num>
  <w:num w:numId="22" w16cid:durableId="1472481103">
    <w:abstractNumId w:val="34"/>
  </w:num>
  <w:num w:numId="23" w16cid:durableId="1997420403">
    <w:abstractNumId w:val="36"/>
  </w:num>
  <w:num w:numId="24" w16cid:durableId="33312838">
    <w:abstractNumId w:val="33"/>
  </w:num>
  <w:num w:numId="25" w16cid:durableId="507404939">
    <w:abstractNumId w:val="20"/>
  </w:num>
  <w:num w:numId="26" w16cid:durableId="1950313333">
    <w:abstractNumId w:val="25"/>
  </w:num>
  <w:num w:numId="27" w16cid:durableId="1866016584">
    <w:abstractNumId w:val="22"/>
  </w:num>
  <w:num w:numId="28" w16cid:durableId="1084960689">
    <w:abstractNumId w:val="19"/>
  </w:num>
  <w:num w:numId="29" w16cid:durableId="1685134624">
    <w:abstractNumId w:val="27"/>
  </w:num>
  <w:num w:numId="30" w16cid:durableId="362439448">
    <w:abstractNumId w:val="30"/>
  </w:num>
  <w:num w:numId="31" w16cid:durableId="1883202562">
    <w:abstractNumId w:val="13"/>
  </w:num>
  <w:num w:numId="32" w16cid:durableId="702630540">
    <w:abstractNumId w:val="15"/>
  </w:num>
  <w:num w:numId="33" w16cid:durableId="59253617">
    <w:abstractNumId w:val="31"/>
  </w:num>
  <w:num w:numId="34" w16cid:durableId="1325012183">
    <w:abstractNumId w:val="18"/>
  </w:num>
  <w:num w:numId="35" w16cid:durableId="690648714">
    <w:abstractNumId w:val="26"/>
  </w:num>
  <w:num w:numId="36" w16cid:durableId="546573706">
    <w:abstractNumId w:val="29"/>
  </w:num>
  <w:num w:numId="37" w16cid:durableId="1132166130">
    <w:abstractNumId w:val="14"/>
  </w:num>
  <w:num w:numId="38" w16cid:durableId="788935959">
    <w:abstractNumId w:val="38"/>
  </w:num>
  <w:num w:numId="39" w16cid:durableId="40833651">
    <w:abstractNumId w:val="41"/>
  </w:num>
  <w:num w:numId="40" w16cid:durableId="1628312745">
    <w:abstractNumId w:val="23"/>
  </w:num>
  <w:num w:numId="41" w16cid:durableId="2005283782">
    <w:abstractNumId w:val="40"/>
  </w:num>
  <w:num w:numId="42" w16cid:durableId="662128364">
    <w:abstractNumId w:val="37"/>
  </w:num>
  <w:num w:numId="43" w16cid:durableId="1869561381">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62F"/>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6A9D"/>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067"/>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68"/>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0F6F"/>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F01"/>
    <w:rsid w:val="002F6300"/>
    <w:rsid w:val="0030016D"/>
    <w:rsid w:val="00301B6F"/>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16F08"/>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B98"/>
    <w:rsid w:val="00364CF9"/>
    <w:rsid w:val="003656E0"/>
    <w:rsid w:val="00365992"/>
    <w:rsid w:val="00365E9F"/>
    <w:rsid w:val="003664C9"/>
    <w:rsid w:val="00366871"/>
    <w:rsid w:val="00367117"/>
    <w:rsid w:val="00367AE6"/>
    <w:rsid w:val="0037016F"/>
    <w:rsid w:val="00370374"/>
    <w:rsid w:val="00371901"/>
    <w:rsid w:val="0037290A"/>
    <w:rsid w:val="00372A21"/>
    <w:rsid w:val="00372FCD"/>
    <w:rsid w:val="0037333D"/>
    <w:rsid w:val="00374540"/>
    <w:rsid w:val="003753D0"/>
    <w:rsid w:val="003756FF"/>
    <w:rsid w:val="0037580F"/>
    <w:rsid w:val="0037664E"/>
    <w:rsid w:val="003777A6"/>
    <w:rsid w:val="00377D50"/>
    <w:rsid w:val="00381B05"/>
    <w:rsid w:val="00381B16"/>
    <w:rsid w:val="00381F59"/>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79"/>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B05"/>
    <w:rsid w:val="00462FA2"/>
    <w:rsid w:val="00465D41"/>
    <w:rsid w:val="00467039"/>
    <w:rsid w:val="0046758D"/>
    <w:rsid w:val="0046774D"/>
    <w:rsid w:val="00467D83"/>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3A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6A4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9AD"/>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3C7D"/>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732"/>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425"/>
    <w:rsid w:val="007267CF"/>
    <w:rsid w:val="00727843"/>
    <w:rsid w:val="0073079A"/>
    <w:rsid w:val="00731FCA"/>
    <w:rsid w:val="007325C8"/>
    <w:rsid w:val="00732B93"/>
    <w:rsid w:val="0073324D"/>
    <w:rsid w:val="0073362E"/>
    <w:rsid w:val="00733DB4"/>
    <w:rsid w:val="00735381"/>
    <w:rsid w:val="007363FE"/>
    <w:rsid w:val="00736D6F"/>
    <w:rsid w:val="0074014C"/>
    <w:rsid w:val="00741656"/>
    <w:rsid w:val="0074207B"/>
    <w:rsid w:val="00742164"/>
    <w:rsid w:val="007425D5"/>
    <w:rsid w:val="007434DC"/>
    <w:rsid w:val="0074355D"/>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40A"/>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0F0A"/>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0A1"/>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58D"/>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7A0"/>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560F5"/>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3FA"/>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2A96"/>
    <w:rsid w:val="00D64087"/>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2F"/>
    <w:rsid w:val="00F729CF"/>
    <w:rsid w:val="00F72FC2"/>
    <w:rsid w:val="00F749A8"/>
    <w:rsid w:val="00F74F32"/>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E9472DCD-1B73-43B4-AE63-591A59ED6D11}"/>
</file>

<file path=customXml/itemProps3.xml><?xml version="1.0" encoding="utf-8"?>
<ds:datastoreItem xmlns:ds="http://schemas.openxmlformats.org/officeDocument/2006/customXml" ds:itemID="{A243CFE1-08DE-432F-83DD-4933F5F97812}">
  <ds:schemaRefs>
    <ds:schemaRef ds:uri="http://schemas.openxmlformats.org/package/2006/metadata/core-properties"/>
    <ds:schemaRef ds:uri="ce173f13-e3a2-4c5f-8c54-d0382ae88016"/>
    <ds:schemaRef ds:uri="http://schemas.microsoft.com/office/2006/documentManagement/types"/>
    <ds:schemaRef ds:uri="http://schemas.microsoft.com/office/infopath/2007/PartnerControls"/>
    <ds:schemaRef ds:uri="http://purl.org/dc/elements/1.1/"/>
    <ds:schemaRef ds:uri="http://schemas.microsoft.com/office/2006/metadata/properties"/>
    <ds:schemaRef ds:uri="102fadf2-6cae-45bc-95f6-bc2613b98572"/>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683</Words>
  <Characters>4530</Characters>
  <Application>Microsoft Office Word</Application>
  <DocSecurity>0</DocSecurity>
  <Lines>100</Lines>
  <Paragraphs>85</Paragraphs>
  <ScaleCrop>false</ScaleCrop>
  <HeadingPairs>
    <vt:vector size="2" baseType="variant">
      <vt:variant>
        <vt:lpstr>Title</vt:lpstr>
      </vt:variant>
      <vt:variant>
        <vt:i4>1</vt:i4>
      </vt:variant>
    </vt:vector>
  </HeadingPairs>
  <TitlesOfParts>
    <vt:vector size="1" baseType="lpstr">
      <vt:lpstr>Rituxan Hycela 2099-A SGM 2024.docx</vt:lpstr>
    </vt:vector>
  </TitlesOfParts>
  <Company>PCS Health Systems</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Rituxan Hycela 2099-A SGM 2024</dc:title>
  <dc:subject/>
  <dc:creator>CVS Caremark</dc:creator>
  <cp:keywords/>
  <cp:lastModifiedBy>Clark, Shannon I</cp:lastModifiedBy>
  <cp:revision>3</cp:revision>
  <cp:lastPrinted>2018-01-09T05:01:00Z</cp:lastPrinted>
  <dcterms:created xsi:type="dcterms:W3CDTF">2024-12-31T03:40:00Z</dcterms:created>
  <dcterms:modified xsi:type="dcterms:W3CDTF">2024-12-31T03:40:00Z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xd_ProgID">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Order">
    <vt:r8>1094400</vt:r8>
  </property>
</Properties>
</file>